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861" w:tblpY="1"/>
        <w:tblOverlap w:val="never"/>
        <w:tblW w:w="1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249"/>
        <w:gridCol w:w="603"/>
        <w:gridCol w:w="3212"/>
        <w:gridCol w:w="5592"/>
      </w:tblGrid>
      <w:tr w:rsidR="002F4215" w:rsidRPr="00720945" w14:paraId="371ECFAF" w14:textId="77777777" w:rsidTr="00F91A8E">
        <w:trPr>
          <w:trHeight w:val="557"/>
        </w:trPr>
        <w:tc>
          <w:tcPr>
            <w:tcW w:w="11074" w:type="dxa"/>
            <w:gridSpan w:val="5"/>
            <w:shd w:val="clear" w:color="auto" w:fill="auto"/>
          </w:tcPr>
          <w:p w14:paraId="1EFD00BE" w14:textId="77777777" w:rsidR="002F4215" w:rsidRPr="00720945" w:rsidRDefault="002F4215" w:rsidP="002F4215">
            <w:pPr>
              <w:spacing w:after="0" w:line="240" w:lineRule="auto"/>
              <w:ind w:left="-255" w:firstLine="255"/>
              <w:jc w:val="center"/>
              <w:rPr>
                <w:rFonts w:ascii="Calibri" w:hAnsi="Calibri" w:cs="Calibri"/>
                <w:b/>
                <w:color w:val="000000" w:themeColor="text1"/>
                <w:sz w:val="20"/>
                <w:szCs w:val="20"/>
                <w:lang w:eastAsia="pt-PT"/>
              </w:rPr>
            </w:pPr>
            <w:r w:rsidRPr="00720945">
              <w:rPr>
                <w:rFonts w:ascii="Calibri" w:hAnsi="Calibri" w:cs="Calibri"/>
                <w:b/>
                <w:color w:val="000000" w:themeColor="text1"/>
                <w:sz w:val="20"/>
                <w:szCs w:val="20"/>
                <w:lang w:eastAsia="pt-PT"/>
              </w:rPr>
              <w:t>DECLARAÇÃO DO BENEFICIÁRIO</w:t>
            </w:r>
          </w:p>
          <w:p w14:paraId="6B124646" w14:textId="77777777" w:rsidR="002F4215" w:rsidRPr="00720945" w:rsidRDefault="002F4215" w:rsidP="002F4215">
            <w:pPr>
              <w:spacing w:after="0" w:line="240" w:lineRule="auto"/>
              <w:ind w:left="-255" w:firstLine="255"/>
              <w:jc w:val="center"/>
              <w:rPr>
                <w:rFonts w:ascii="Calibri" w:hAnsi="Calibri" w:cs="Calibri"/>
                <w:b/>
                <w:color w:val="000000" w:themeColor="text1"/>
                <w:sz w:val="18"/>
                <w:szCs w:val="18"/>
              </w:rPr>
            </w:pPr>
            <w:r w:rsidRPr="00720945">
              <w:rPr>
                <w:rFonts w:ascii="Calibri" w:hAnsi="Calibri" w:cs="Calibri"/>
                <w:b/>
                <w:color w:val="000000" w:themeColor="text1"/>
                <w:sz w:val="20"/>
                <w:szCs w:val="20"/>
                <w:lang w:eastAsia="pt-PT"/>
              </w:rPr>
              <w:t>LINHA DE APOIO À PRODUÇÃO</w:t>
            </w:r>
          </w:p>
        </w:tc>
      </w:tr>
      <w:tr w:rsidR="002F4215" w:rsidRPr="00720945" w14:paraId="3C5D9F98" w14:textId="77777777" w:rsidTr="00F91A8E">
        <w:trPr>
          <w:trHeight w:val="420"/>
        </w:trPr>
        <w:tc>
          <w:tcPr>
            <w:tcW w:w="11074" w:type="dxa"/>
            <w:gridSpan w:val="5"/>
            <w:shd w:val="clear" w:color="auto" w:fill="auto"/>
          </w:tcPr>
          <w:p w14:paraId="341247EA" w14:textId="77777777" w:rsidR="002F4215" w:rsidRPr="00720945" w:rsidRDefault="002F4215" w:rsidP="00F91A8E">
            <w:pPr>
              <w:ind w:left="-255" w:firstLine="255"/>
              <w:rPr>
                <w:rFonts w:ascii="Calibri" w:hAnsi="Calibri" w:cs="Calibri"/>
                <w:color w:val="000000" w:themeColor="text1"/>
                <w:sz w:val="18"/>
                <w:szCs w:val="18"/>
              </w:rPr>
            </w:pPr>
            <w:r w:rsidRPr="00720945">
              <w:rPr>
                <w:rFonts w:ascii="Calibri" w:hAnsi="Calibri" w:cs="Calibri"/>
                <w:color w:val="000000" w:themeColor="text1"/>
                <w:sz w:val="18"/>
                <w:szCs w:val="18"/>
              </w:rPr>
              <w:t>O beneficiário identificado pelo,</w:t>
            </w:r>
          </w:p>
        </w:tc>
      </w:tr>
      <w:tr w:rsidR="002F4215" w:rsidRPr="00720945" w14:paraId="7465449D" w14:textId="77777777" w:rsidTr="00F91A8E">
        <w:trPr>
          <w:trHeight w:val="408"/>
        </w:trPr>
        <w:tc>
          <w:tcPr>
            <w:tcW w:w="1667" w:type="dxa"/>
            <w:gridSpan w:val="2"/>
            <w:shd w:val="clear" w:color="auto" w:fill="auto"/>
          </w:tcPr>
          <w:p w14:paraId="6EC05DE9" w14:textId="77777777" w:rsidR="002F4215" w:rsidRPr="00720945" w:rsidRDefault="002F4215" w:rsidP="00F91A8E">
            <w:pPr>
              <w:jc w:val="center"/>
              <w:rPr>
                <w:rFonts w:ascii="Calibri" w:hAnsi="Calibri" w:cs="Calibri"/>
                <w:b/>
                <w:color w:val="000000" w:themeColor="text1"/>
                <w:sz w:val="18"/>
                <w:szCs w:val="18"/>
              </w:rPr>
            </w:pPr>
            <w:r w:rsidRPr="00720945">
              <w:rPr>
                <w:rFonts w:ascii="Calibri" w:hAnsi="Calibri" w:cs="Calibri"/>
                <w:b/>
                <w:color w:val="000000" w:themeColor="text1"/>
                <w:sz w:val="18"/>
                <w:szCs w:val="18"/>
              </w:rPr>
              <w:t>NIF</w:t>
            </w:r>
          </w:p>
        </w:tc>
        <w:tc>
          <w:tcPr>
            <w:tcW w:w="9407" w:type="dxa"/>
            <w:gridSpan w:val="3"/>
            <w:shd w:val="clear" w:color="auto" w:fill="auto"/>
          </w:tcPr>
          <w:p w14:paraId="64DFAFB9" w14:textId="77777777" w:rsidR="002F4215" w:rsidRPr="00720945" w:rsidRDefault="002F4215" w:rsidP="00F91A8E">
            <w:pPr>
              <w:jc w:val="center"/>
              <w:rPr>
                <w:rFonts w:ascii="Calibri" w:hAnsi="Calibri" w:cs="Calibri"/>
                <w:color w:val="000000" w:themeColor="text1"/>
                <w:sz w:val="18"/>
                <w:szCs w:val="18"/>
                <w:highlight w:val="yellow"/>
              </w:rPr>
            </w:pPr>
          </w:p>
        </w:tc>
      </w:tr>
      <w:tr w:rsidR="002F4215" w:rsidRPr="00720945" w14:paraId="4F69EC61" w14:textId="77777777" w:rsidTr="00F91A8E">
        <w:trPr>
          <w:trHeight w:val="408"/>
        </w:trPr>
        <w:tc>
          <w:tcPr>
            <w:tcW w:w="1667" w:type="dxa"/>
            <w:gridSpan w:val="2"/>
            <w:shd w:val="clear" w:color="auto" w:fill="auto"/>
          </w:tcPr>
          <w:p w14:paraId="6C063744" w14:textId="77777777" w:rsidR="002F4215" w:rsidRPr="00720945" w:rsidRDefault="002F4215" w:rsidP="00F91A8E">
            <w:pPr>
              <w:jc w:val="center"/>
              <w:rPr>
                <w:rFonts w:ascii="Calibri" w:hAnsi="Calibri" w:cs="Calibri"/>
                <w:b/>
                <w:color w:val="000000" w:themeColor="text1"/>
                <w:sz w:val="18"/>
                <w:szCs w:val="18"/>
              </w:rPr>
            </w:pPr>
            <w:r w:rsidRPr="00720945">
              <w:rPr>
                <w:rFonts w:ascii="Calibri" w:hAnsi="Calibri" w:cs="Calibri"/>
                <w:b/>
                <w:color w:val="000000" w:themeColor="text1"/>
                <w:sz w:val="18"/>
                <w:szCs w:val="18"/>
              </w:rPr>
              <w:t>Nome</w:t>
            </w:r>
          </w:p>
        </w:tc>
        <w:tc>
          <w:tcPr>
            <w:tcW w:w="9407" w:type="dxa"/>
            <w:gridSpan w:val="3"/>
            <w:shd w:val="clear" w:color="auto" w:fill="auto"/>
          </w:tcPr>
          <w:p w14:paraId="45830BD6" w14:textId="77777777" w:rsidR="002F4215" w:rsidRPr="00720945" w:rsidRDefault="002F4215" w:rsidP="00F91A8E">
            <w:pPr>
              <w:jc w:val="center"/>
              <w:rPr>
                <w:rFonts w:ascii="Calibri" w:hAnsi="Calibri" w:cs="Calibri"/>
                <w:color w:val="000000" w:themeColor="text1"/>
                <w:sz w:val="18"/>
                <w:szCs w:val="18"/>
                <w:highlight w:val="yellow"/>
              </w:rPr>
            </w:pPr>
          </w:p>
        </w:tc>
      </w:tr>
      <w:tr w:rsidR="002F4215" w:rsidRPr="00720945" w14:paraId="26F2AA3D" w14:textId="77777777" w:rsidTr="00F91A8E">
        <w:trPr>
          <w:trHeight w:val="408"/>
        </w:trPr>
        <w:tc>
          <w:tcPr>
            <w:tcW w:w="11074" w:type="dxa"/>
            <w:gridSpan w:val="5"/>
            <w:shd w:val="clear" w:color="auto" w:fill="auto"/>
          </w:tcPr>
          <w:p w14:paraId="2D9E24B3"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Declara que,</w:t>
            </w:r>
          </w:p>
        </w:tc>
      </w:tr>
      <w:tr w:rsidR="002F4215" w:rsidRPr="00720945" w14:paraId="3A842009" w14:textId="77777777" w:rsidTr="00F91A8E">
        <w:trPr>
          <w:trHeight w:val="4680"/>
        </w:trPr>
        <w:tc>
          <w:tcPr>
            <w:tcW w:w="418" w:type="dxa"/>
            <w:shd w:val="clear" w:color="auto" w:fill="auto"/>
          </w:tcPr>
          <w:p w14:paraId="4679BD60"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r w:rsidRPr="00720945">
              <w:rPr>
                <w:rFonts w:ascii="Calibri" w:hAnsi="Calibri" w:cs="Calibri"/>
                <w:color w:val="000000" w:themeColor="text1"/>
                <w:sz w:val="16"/>
                <w:szCs w:val="16"/>
              </w:rPr>
              <w:t>1)</w:t>
            </w:r>
          </w:p>
        </w:tc>
        <w:tc>
          <w:tcPr>
            <w:tcW w:w="10656" w:type="dxa"/>
            <w:gridSpan w:val="4"/>
            <w:shd w:val="clear" w:color="auto" w:fill="auto"/>
          </w:tcPr>
          <w:p w14:paraId="4762F633"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Não era considerado em dificuldades a 31 de Dezembro de 2019, nos termos do nº 18 do Artigo 2º do Regulamento da Comissão Europeia nº 651/2014 de 17 de junho, nomeadamente,</w:t>
            </w:r>
          </w:p>
          <w:p w14:paraId="3A8BD2B4"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a) No caso de uma sociedade de responsabilidade limitada,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211F0481"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b) No caso de uma sociedade em que pelo menos alguns sócios têm responsabilidade ilimitada relativamente às dívidas da empresa,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3DFC9CC9"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c) Não foi objeto de um processo coletivo de insolvência ou preencher, de acordo com o respetivo direito nacional, os critérios para ser submetida a um processo coletivo de insolvência a pedido dos seus credores.</w:t>
            </w:r>
          </w:p>
          <w:p w14:paraId="1F178F48"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 xml:space="preserve">d) Não recebeu um auxílio de emergência ou, tendo recebido, já reembolsado o empréstimo ou terminou a garantia, e/ou não se encontra sujeito a um plano de reestruturação relativo a um auxílio à reestruturação. </w:t>
            </w:r>
          </w:p>
          <w:p w14:paraId="65E082D6"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e) No caso de uma empresa que não seja uma PME, sempre que, nos últimos dois anos:</w:t>
            </w:r>
          </w:p>
          <w:p w14:paraId="71084918" w14:textId="77777777" w:rsidR="002F4215" w:rsidRPr="00720945" w:rsidRDefault="002F4215" w:rsidP="002F4215">
            <w:pPr>
              <w:widowControl/>
              <w:numPr>
                <w:ilvl w:val="0"/>
                <w:numId w:val="7"/>
              </w:numPr>
              <w:autoSpaceDE w:val="0"/>
              <w:autoSpaceDN w:val="0"/>
              <w:adjustRightInd w:val="0"/>
              <w:spacing w:after="0"/>
              <w:jc w:val="both"/>
              <w:rPr>
                <w:rFonts w:ascii="Calibri" w:hAnsi="Calibri" w:cs="Calibri"/>
                <w:color w:val="000000" w:themeColor="text1"/>
                <w:sz w:val="18"/>
                <w:szCs w:val="18"/>
              </w:rPr>
            </w:pPr>
            <w:r w:rsidRPr="00720945">
              <w:rPr>
                <w:rFonts w:ascii="Calibri" w:hAnsi="Calibri" w:cs="Calibri"/>
                <w:color w:val="000000" w:themeColor="text1"/>
                <w:sz w:val="18"/>
                <w:szCs w:val="18"/>
              </w:rPr>
              <w:t>o rácio dívida contabilística/fundos próprios da empresa tiver sido superior a 7,5;</w:t>
            </w:r>
          </w:p>
          <w:p w14:paraId="65E91980" w14:textId="77777777" w:rsidR="002F4215" w:rsidRPr="00720945" w:rsidRDefault="002F4215" w:rsidP="002F4215">
            <w:pPr>
              <w:widowControl/>
              <w:numPr>
                <w:ilvl w:val="0"/>
                <w:numId w:val="6"/>
              </w:numPr>
              <w:autoSpaceDE w:val="0"/>
              <w:autoSpaceDN w:val="0"/>
              <w:adjustRightInd w:val="0"/>
              <w:spacing w:after="0"/>
              <w:jc w:val="both"/>
              <w:rPr>
                <w:rFonts w:ascii="Calibri" w:hAnsi="Calibri" w:cs="Calibri"/>
                <w:color w:val="000000" w:themeColor="text1"/>
                <w:sz w:val="18"/>
                <w:szCs w:val="18"/>
              </w:rPr>
            </w:pPr>
            <w:r w:rsidRPr="00720945">
              <w:rPr>
                <w:rFonts w:ascii="Calibri" w:hAnsi="Calibri" w:cs="Calibri"/>
                <w:color w:val="000000" w:themeColor="text1"/>
                <w:sz w:val="18"/>
                <w:szCs w:val="18"/>
              </w:rPr>
              <w:t>o rácio de cobertura dos juros da empresa, calculado com base em EBTIDA, tiver sido inferior a 1,0.</w:t>
            </w:r>
          </w:p>
        </w:tc>
      </w:tr>
      <w:tr w:rsidR="002F4215" w:rsidRPr="00720945" w14:paraId="3400D512" w14:textId="77777777" w:rsidTr="00F91A8E">
        <w:trPr>
          <w:trHeight w:val="456"/>
        </w:trPr>
        <w:tc>
          <w:tcPr>
            <w:tcW w:w="418" w:type="dxa"/>
            <w:shd w:val="clear" w:color="auto" w:fill="auto"/>
          </w:tcPr>
          <w:p w14:paraId="79CDDF9E"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r w:rsidRPr="00720945">
              <w:rPr>
                <w:rFonts w:ascii="Calibri" w:hAnsi="Calibri" w:cs="Calibri"/>
                <w:color w:val="000000" w:themeColor="text1"/>
                <w:sz w:val="16"/>
                <w:szCs w:val="16"/>
              </w:rPr>
              <w:t>2)</w:t>
            </w:r>
          </w:p>
        </w:tc>
        <w:tc>
          <w:tcPr>
            <w:tcW w:w="10656" w:type="dxa"/>
            <w:gridSpan w:val="4"/>
            <w:shd w:val="clear" w:color="auto" w:fill="auto"/>
          </w:tcPr>
          <w:p w14:paraId="6A08B53E"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Não é:</w:t>
            </w:r>
          </w:p>
          <w:p w14:paraId="6B1E0DAC"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a) Entidade com sede ou direção efetiva em países, territórios ou regiões com regime fiscal claramente mais favorável, quando estes constem da lista aprovada pela </w:t>
            </w:r>
            <w:hyperlink r:id="rId7" w:tgtFrame="_blank" w:tooltip="Portaria n.º 150/2004" w:history="1">
              <w:r w:rsidRPr="00720945">
                <w:rPr>
                  <w:rFonts w:ascii="Calibri" w:hAnsi="Calibri" w:cs="Calibri"/>
                  <w:color w:val="000000" w:themeColor="text1"/>
                  <w:sz w:val="18"/>
                  <w:szCs w:val="18"/>
                </w:rPr>
                <w:t>Portaria n.º 150/2004</w:t>
              </w:r>
            </w:hyperlink>
            <w:r w:rsidRPr="00720945">
              <w:rPr>
                <w:rFonts w:ascii="Calibri" w:hAnsi="Calibri" w:cs="Calibri"/>
                <w:color w:val="000000" w:themeColor="text1"/>
                <w:sz w:val="18"/>
                <w:szCs w:val="18"/>
              </w:rPr>
              <w:t>, de 13 de fevereiro;</w:t>
            </w:r>
          </w:p>
          <w:p w14:paraId="7AFF6CE0"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Portaria n.º 150/2004, de 13 de fevereiro, ou cujo beneficiário efetivo tenha domicílio naqueles países, territórios ou regiões.</w:t>
            </w:r>
          </w:p>
        </w:tc>
      </w:tr>
      <w:tr w:rsidR="002F4215" w:rsidRPr="00720945" w14:paraId="13DE9DA9" w14:textId="77777777" w:rsidTr="00F91A8E">
        <w:trPr>
          <w:trHeight w:val="144"/>
        </w:trPr>
        <w:tc>
          <w:tcPr>
            <w:tcW w:w="418" w:type="dxa"/>
            <w:shd w:val="clear" w:color="auto" w:fill="auto"/>
          </w:tcPr>
          <w:p w14:paraId="1EFAEB95"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r w:rsidRPr="00720945">
              <w:rPr>
                <w:rFonts w:ascii="Calibri" w:hAnsi="Calibri" w:cs="Calibri"/>
                <w:color w:val="000000" w:themeColor="text1"/>
                <w:sz w:val="16"/>
                <w:szCs w:val="16"/>
              </w:rPr>
              <w:t>3)</w:t>
            </w:r>
          </w:p>
        </w:tc>
        <w:tc>
          <w:tcPr>
            <w:tcW w:w="10656" w:type="dxa"/>
            <w:gridSpan w:val="4"/>
            <w:shd w:val="clear" w:color="auto" w:fill="auto"/>
          </w:tcPr>
          <w:p w14:paraId="1B2C7704"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E40C82">
              <w:rPr>
                <w:rFonts w:ascii="Calibri" w:hAnsi="Calibri" w:cs="Calibri"/>
                <w:sz w:val="18"/>
                <w:szCs w:val="18"/>
              </w:rPr>
              <w:t>Caso à data do financiamento não tenha a situação regularizada junto da Administração Fiscal e da Segurança Social relativamente a dívidas vencidas após março de 2020 a aderir a plano prestacional, nos termos do n.º 3 dos artigos 359º da Lei n.º 75-B/2020</w:t>
            </w:r>
          </w:p>
        </w:tc>
      </w:tr>
      <w:tr w:rsidR="002F4215" w:rsidRPr="00720945" w14:paraId="0570A3BD" w14:textId="77777777" w:rsidTr="00F91A8E">
        <w:trPr>
          <w:trHeight w:val="144"/>
        </w:trPr>
        <w:tc>
          <w:tcPr>
            <w:tcW w:w="418" w:type="dxa"/>
            <w:shd w:val="clear" w:color="auto" w:fill="auto"/>
          </w:tcPr>
          <w:p w14:paraId="5E5321A0"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r w:rsidRPr="00720945">
              <w:rPr>
                <w:rFonts w:ascii="Calibri" w:hAnsi="Calibri" w:cs="Calibri"/>
                <w:color w:val="000000" w:themeColor="text1"/>
                <w:sz w:val="16"/>
                <w:szCs w:val="16"/>
              </w:rPr>
              <w:t>4)</w:t>
            </w:r>
          </w:p>
        </w:tc>
        <w:tc>
          <w:tcPr>
            <w:tcW w:w="10656" w:type="dxa"/>
            <w:gridSpan w:val="4"/>
            <w:shd w:val="clear" w:color="auto" w:fill="auto"/>
          </w:tcPr>
          <w:p w14:paraId="363DF109" w14:textId="536F29FB" w:rsidR="002F4215" w:rsidRPr="00720945" w:rsidRDefault="002F4215" w:rsidP="00F91A8E">
            <w:pPr>
              <w:autoSpaceDE w:val="0"/>
              <w:autoSpaceDN w:val="0"/>
              <w:adjustRightInd w:val="0"/>
              <w:jc w:val="both"/>
              <w:rPr>
                <w:rFonts w:ascii="Calibri" w:hAnsi="Calibri" w:cs="Calibri"/>
                <w:color w:val="000000" w:themeColor="text1"/>
                <w:sz w:val="18"/>
                <w:szCs w:val="18"/>
                <w:lang w:eastAsia="x-none"/>
              </w:rPr>
            </w:pPr>
            <w:r w:rsidRPr="00720945">
              <w:rPr>
                <w:noProof/>
                <w:color w:val="000000" w:themeColor="text1"/>
              </w:rPr>
              <mc:AlternateContent>
                <mc:Choice Requires="wps">
                  <w:drawing>
                    <wp:anchor distT="0" distB="0" distL="114300" distR="114300" simplePos="0" relativeHeight="251659264" behindDoc="0" locked="0" layoutInCell="1" allowOverlap="1" wp14:anchorId="2B95BAF1" wp14:editId="5439B931">
                      <wp:simplePos x="0" y="0"/>
                      <wp:positionH relativeFrom="column">
                        <wp:posOffset>-635</wp:posOffset>
                      </wp:positionH>
                      <wp:positionV relativeFrom="paragraph">
                        <wp:posOffset>262890</wp:posOffset>
                      </wp:positionV>
                      <wp:extent cx="198120" cy="198120"/>
                      <wp:effectExtent l="0" t="0" r="11430"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3AF8C180" w14:textId="77777777" w:rsidR="002F4215" w:rsidRPr="006E0735" w:rsidRDefault="002F4215" w:rsidP="002F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5BAF1" id="_x0000_t202" coordsize="21600,21600" o:spt="202" path="m,l,21600r21600,l21600,xe">
                      <v:stroke joinstyle="miter"/>
                      <v:path gradientshapeok="t" o:connecttype="rect"/>
                    </v:shapetype>
                    <v:shape id="Text Box 3" o:spid="_x0000_s1026" type="#_x0000_t202" style="position:absolute;left:0;text-align:left;margin-left:-.05pt;margin-top:20.7pt;width:15.6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" fillcolor="window" strokeweight=".5pt">
                      <v:path arrowok="t"/>
                      <v:textbox>
                        <w:txbxContent>
                          <w:p w14:paraId="3AF8C180" w14:textId="77777777" w:rsidR="002F4215" w:rsidRPr="006E0735" w:rsidRDefault="002F4215" w:rsidP="002F4215"/>
                        </w:txbxContent>
                      </v:textbox>
                    </v:shape>
                  </w:pict>
                </mc:Fallback>
              </mc:AlternateContent>
            </w:r>
            <w:r w:rsidRPr="00720945">
              <w:rPr>
                <w:rFonts w:ascii="Calibri" w:hAnsi="Calibri" w:cs="Calibri"/>
                <w:color w:val="000000" w:themeColor="text1"/>
                <w:sz w:val="18"/>
                <w:szCs w:val="18"/>
                <w:lang w:eastAsia="x-none"/>
              </w:rPr>
              <w:t>(Optar por uma das declarações se não apresentar certificado PME)</w:t>
            </w:r>
          </w:p>
          <w:p w14:paraId="0154AE0E" w14:textId="05F998FF" w:rsidR="002F4215" w:rsidRPr="00720945" w:rsidRDefault="002F4215" w:rsidP="00F91A8E">
            <w:pPr>
              <w:autoSpaceDE w:val="0"/>
              <w:autoSpaceDN w:val="0"/>
              <w:adjustRightInd w:val="0"/>
              <w:jc w:val="both"/>
              <w:rPr>
                <w:rFonts w:ascii="Calibri" w:hAnsi="Calibri" w:cs="Calibri"/>
                <w:color w:val="000000" w:themeColor="text1"/>
                <w:sz w:val="18"/>
                <w:szCs w:val="18"/>
                <w:lang w:eastAsia="x-none"/>
              </w:rPr>
            </w:pPr>
            <w:r w:rsidRPr="00720945">
              <w:rPr>
                <w:rFonts w:ascii="Calibri" w:hAnsi="Calibri" w:cs="Calibri"/>
                <w:color w:val="000000" w:themeColor="text1"/>
                <w:sz w:val="18"/>
                <w:szCs w:val="18"/>
                <w:lang w:eastAsia="x-none"/>
              </w:rPr>
              <w:t xml:space="preserve">          Declaração de Empresa de Pequena-Média Capitalização – Small MidCap</w:t>
            </w:r>
          </w:p>
          <w:p w14:paraId="28A60303" w14:textId="45C8C080" w:rsidR="002F4215" w:rsidRPr="00720945" w:rsidRDefault="002F4215" w:rsidP="002F4215">
            <w:pPr>
              <w:numPr>
                <w:ilvl w:val="0"/>
                <w:numId w:val="3"/>
              </w:numPr>
              <w:autoSpaceDE w:val="0"/>
              <w:autoSpaceDN w:val="0"/>
              <w:adjustRightInd w:val="0"/>
              <w:jc w:val="both"/>
              <w:rPr>
                <w:rFonts w:ascii="Calibri" w:hAnsi="Calibri" w:cs="Calibri"/>
                <w:color w:val="000000" w:themeColor="text1"/>
                <w:sz w:val="18"/>
                <w:szCs w:val="18"/>
                <w:lang w:eastAsia="x-none"/>
              </w:rPr>
            </w:pPr>
            <w:r w:rsidRPr="00720945">
              <w:rPr>
                <w:rFonts w:ascii="Calibri" w:hAnsi="Calibri" w:cs="Calibri"/>
                <w:color w:val="000000" w:themeColor="text1"/>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03CE5F37" w14:textId="4DB03BAE" w:rsidR="002F4215" w:rsidRPr="00720945" w:rsidRDefault="002F4215" w:rsidP="002F4215">
            <w:pPr>
              <w:numPr>
                <w:ilvl w:val="0"/>
                <w:numId w:val="3"/>
              </w:numPr>
              <w:autoSpaceDE w:val="0"/>
              <w:autoSpaceDN w:val="0"/>
              <w:adjustRightInd w:val="0"/>
              <w:jc w:val="both"/>
              <w:rPr>
                <w:rFonts w:ascii="Calibri" w:hAnsi="Calibri" w:cs="Calibri"/>
                <w:color w:val="000000" w:themeColor="text1"/>
                <w:sz w:val="18"/>
                <w:szCs w:val="18"/>
                <w:lang w:eastAsia="x-none"/>
              </w:rPr>
            </w:pPr>
            <w:r w:rsidRPr="00720945">
              <w:rPr>
                <w:rFonts w:ascii="Calibri" w:hAnsi="Calibri" w:cs="Calibri"/>
                <w:color w:val="000000" w:themeColor="text1"/>
                <w:sz w:val="18"/>
                <w:szCs w:val="18"/>
                <w:lang w:eastAsia="x-none"/>
              </w:rPr>
              <w:t xml:space="preserve">Ser uma empresa de pequena-média capitalização (Small MidCap), nos termos do n.º 2, do n.º 3 e do n.º 4 do artigo 2º do Decreto-Lei n.º 372/2007, de 6 de novembro, na sua redação atual, por, não sendo PME, empregar, enquanto empresa autónoma, até 500 </w:t>
            </w:r>
            <w:r w:rsidRPr="00720945">
              <w:rPr>
                <w:rFonts w:ascii="Calibri" w:hAnsi="Calibri" w:cs="Calibri"/>
                <w:color w:val="000000" w:themeColor="text1"/>
                <w:sz w:val="18"/>
                <w:szCs w:val="18"/>
                <w:lang w:eastAsia="x-none"/>
              </w:rPr>
              <w:lastRenderedPageBreak/>
              <w:t>trabalhadores (&lt;500).</w:t>
            </w:r>
          </w:p>
          <w:p w14:paraId="1F2766C9" w14:textId="7CEE71ED" w:rsidR="002F4215" w:rsidRPr="00720945" w:rsidRDefault="002F4215" w:rsidP="00F91A8E">
            <w:pPr>
              <w:autoSpaceDE w:val="0"/>
              <w:autoSpaceDN w:val="0"/>
              <w:adjustRightInd w:val="0"/>
              <w:spacing w:before="240"/>
              <w:jc w:val="both"/>
              <w:rPr>
                <w:rFonts w:ascii="Calibri" w:hAnsi="Calibri" w:cs="Calibri"/>
                <w:color w:val="000000" w:themeColor="text1"/>
                <w:sz w:val="18"/>
                <w:szCs w:val="18"/>
                <w:lang w:eastAsia="x-none"/>
              </w:rPr>
            </w:pPr>
            <w:r w:rsidRPr="00720945">
              <w:rPr>
                <w:noProof/>
                <w:color w:val="000000" w:themeColor="text1"/>
              </w:rPr>
              <mc:AlternateContent>
                <mc:Choice Requires="wps">
                  <w:drawing>
                    <wp:anchor distT="0" distB="0" distL="114300" distR="114300" simplePos="0" relativeHeight="251660288" behindDoc="0" locked="0" layoutInCell="1" allowOverlap="1" wp14:anchorId="473D2C59" wp14:editId="63BFC721">
                      <wp:simplePos x="0" y="0"/>
                      <wp:positionH relativeFrom="column">
                        <wp:posOffset>-14605</wp:posOffset>
                      </wp:positionH>
                      <wp:positionV relativeFrom="paragraph">
                        <wp:posOffset>37465</wp:posOffset>
                      </wp:positionV>
                      <wp:extent cx="218440" cy="189865"/>
                      <wp:effectExtent l="0" t="0" r="1016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74241FA4" w14:textId="77777777" w:rsidR="002F4215" w:rsidRDefault="002F4215" w:rsidP="002F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D2C59" id="Text Box 4" o:spid="_x0000_s1027" type="#_x0000_t202" style="position:absolute;left:0;text-align:left;margin-left:-1.15pt;margin-top:2.95pt;width:17.2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" fillcolor="window" strokeweight=".5pt">
                      <v:path arrowok="t"/>
                      <v:textbox>
                        <w:txbxContent>
                          <w:p w14:paraId="74241FA4" w14:textId="77777777" w:rsidR="002F4215" w:rsidRDefault="002F4215" w:rsidP="002F4215"/>
                        </w:txbxContent>
                      </v:textbox>
                    </v:shape>
                  </w:pict>
                </mc:Fallback>
              </mc:AlternateContent>
            </w:r>
            <w:r w:rsidRPr="00720945">
              <w:rPr>
                <w:rFonts w:ascii="Calibri" w:hAnsi="Calibri" w:cs="Calibri"/>
                <w:color w:val="000000" w:themeColor="text1"/>
                <w:sz w:val="18"/>
                <w:szCs w:val="18"/>
                <w:lang w:eastAsia="x-none"/>
              </w:rPr>
              <w:t xml:space="preserve">             Declaração de Empresa de Média Capitalização – MidCap</w:t>
            </w:r>
          </w:p>
          <w:p w14:paraId="459EE5C7" w14:textId="77777777" w:rsidR="002F4215" w:rsidRPr="00720945" w:rsidRDefault="002F4215" w:rsidP="002F4215">
            <w:pPr>
              <w:numPr>
                <w:ilvl w:val="0"/>
                <w:numId w:val="4"/>
              </w:numPr>
              <w:autoSpaceDE w:val="0"/>
              <w:autoSpaceDN w:val="0"/>
              <w:adjustRightInd w:val="0"/>
              <w:jc w:val="both"/>
              <w:rPr>
                <w:rFonts w:ascii="Calibri" w:hAnsi="Calibri" w:cs="Calibri"/>
                <w:color w:val="000000" w:themeColor="text1"/>
                <w:sz w:val="18"/>
                <w:szCs w:val="18"/>
                <w:lang w:eastAsia="x-none"/>
              </w:rPr>
            </w:pPr>
            <w:r w:rsidRPr="00720945">
              <w:rPr>
                <w:rFonts w:ascii="Calibri" w:hAnsi="Calibri" w:cs="Calibri"/>
                <w:color w:val="000000" w:themeColor="text1"/>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7BE1E0B0" w14:textId="77777777" w:rsidR="002F4215" w:rsidRPr="00720945" w:rsidRDefault="002F4215" w:rsidP="002F4215">
            <w:pPr>
              <w:numPr>
                <w:ilvl w:val="0"/>
                <w:numId w:val="4"/>
              </w:numPr>
              <w:autoSpaceDE w:val="0"/>
              <w:autoSpaceDN w:val="0"/>
              <w:adjustRightInd w:val="0"/>
              <w:spacing w:line="240" w:lineRule="auto"/>
              <w:jc w:val="both"/>
              <w:rPr>
                <w:rFonts w:cstheme="minorHAnsi"/>
                <w:color w:val="000000" w:themeColor="text1"/>
                <w:sz w:val="18"/>
                <w:szCs w:val="18"/>
                <w:lang w:eastAsia="x-none"/>
              </w:rPr>
            </w:pPr>
            <w:r w:rsidRPr="00720945">
              <w:rPr>
                <w:noProof/>
                <w:color w:val="000000" w:themeColor="text1"/>
              </w:rPr>
              <mc:AlternateContent>
                <mc:Choice Requires="wps">
                  <w:drawing>
                    <wp:anchor distT="0" distB="0" distL="114300" distR="114300" simplePos="0" relativeHeight="251663360" behindDoc="0" locked="0" layoutInCell="1" allowOverlap="1" wp14:anchorId="4379A2D0" wp14:editId="2C67D104">
                      <wp:simplePos x="0" y="0"/>
                      <wp:positionH relativeFrom="column">
                        <wp:posOffset>-1905</wp:posOffset>
                      </wp:positionH>
                      <wp:positionV relativeFrom="paragraph">
                        <wp:posOffset>523777</wp:posOffset>
                      </wp:positionV>
                      <wp:extent cx="218440" cy="1898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 cy="189865"/>
                              </a:xfrm>
                              <a:prstGeom prst="rect">
                                <a:avLst/>
                              </a:prstGeom>
                              <a:solidFill>
                                <a:sysClr val="window" lastClr="FFFFFF"/>
                              </a:solidFill>
                              <a:ln w="6350">
                                <a:solidFill>
                                  <a:prstClr val="black"/>
                                </a:solidFill>
                              </a:ln>
                            </wps:spPr>
                            <wps:txbx>
                              <w:txbxContent>
                                <w:p w14:paraId="28DED61C" w14:textId="77777777" w:rsidR="002F4215" w:rsidRDefault="002F4215" w:rsidP="002F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9A2D0" id="Text Box 2" o:spid="_x0000_s1028" type="#_x0000_t202" style="position:absolute;left:0;text-align:left;margin-left:-.15pt;margin-top:41.25pt;width:17.2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" fillcolor="window" strokeweight=".5pt">
                      <v:path arrowok="t"/>
                      <v:textbox>
                        <w:txbxContent>
                          <w:p w14:paraId="28DED61C" w14:textId="77777777" w:rsidR="002F4215" w:rsidRDefault="002F4215" w:rsidP="002F4215"/>
                        </w:txbxContent>
                      </v:textbox>
                    </v:shape>
                  </w:pict>
                </mc:Fallback>
              </mc:AlternateContent>
            </w:r>
            <w:r w:rsidRPr="00720945">
              <w:rPr>
                <w:rFonts w:ascii="Calibri" w:hAnsi="Calibri" w:cs="Calibri"/>
                <w:color w:val="000000" w:themeColor="text1"/>
                <w:sz w:val="18"/>
                <w:szCs w:val="18"/>
                <w:lang w:eastAsia="x-none"/>
              </w:rPr>
              <w:t>Ser uma empresa de média capitalização (MidCap), nos termos do n.º 2, do n.º 3 e do n.º 4 do artigo 2º do Decreto-Lei n.º 372/2007, de 6 de novembro, na sua redação atual, por, não sendo PME, empregar, enquanto empresa autónoma, entre 500 e 3000 trabalhadores (&gt;= 500 e &lt;3000).</w:t>
            </w:r>
            <w:r w:rsidRPr="00720945">
              <w:rPr>
                <w:rFonts w:cstheme="minorHAnsi"/>
                <w:color w:val="000000" w:themeColor="text1"/>
                <w:sz w:val="18"/>
                <w:szCs w:val="18"/>
                <w:lang w:eastAsia="x-none"/>
              </w:rPr>
              <w:t xml:space="preserve"> entre 500 e 3000 trabalhadores (&gt;= 500 e &lt;3000);</w:t>
            </w:r>
          </w:p>
          <w:p w14:paraId="2375BCEC" w14:textId="77777777" w:rsidR="002F4215" w:rsidRPr="00720945" w:rsidRDefault="002F4215" w:rsidP="00F91A8E">
            <w:pPr>
              <w:autoSpaceDE w:val="0"/>
              <w:autoSpaceDN w:val="0"/>
              <w:adjustRightInd w:val="0"/>
              <w:ind w:left="720"/>
              <w:jc w:val="both"/>
              <w:rPr>
                <w:rFonts w:cstheme="minorHAnsi"/>
                <w:color w:val="000000" w:themeColor="text1"/>
                <w:sz w:val="18"/>
                <w:szCs w:val="18"/>
                <w:lang w:eastAsia="x-none"/>
              </w:rPr>
            </w:pPr>
            <w:r w:rsidRPr="00720945">
              <w:rPr>
                <w:rFonts w:ascii="Calibri" w:hAnsi="Calibri" w:cs="Calibri"/>
                <w:color w:val="000000" w:themeColor="text1"/>
                <w:sz w:val="18"/>
                <w:szCs w:val="18"/>
                <w:lang w:eastAsia="x-none"/>
              </w:rPr>
              <w:t>Declaração de Empresa Grande</w:t>
            </w:r>
          </w:p>
          <w:p w14:paraId="76DD5C4F" w14:textId="77777777" w:rsidR="002F4215" w:rsidRPr="00720945" w:rsidRDefault="002F4215" w:rsidP="002F4215">
            <w:pPr>
              <w:numPr>
                <w:ilvl w:val="0"/>
                <w:numId w:val="4"/>
              </w:numPr>
              <w:autoSpaceDE w:val="0"/>
              <w:autoSpaceDN w:val="0"/>
              <w:adjustRightInd w:val="0"/>
              <w:spacing w:line="240" w:lineRule="auto"/>
              <w:jc w:val="both"/>
              <w:rPr>
                <w:rFonts w:cstheme="minorHAnsi"/>
                <w:color w:val="000000" w:themeColor="text1"/>
                <w:sz w:val="18"/>
                <w:szCs w:val="18"/>
                <w:lang w:eastAsia="x-none"/>
              </w:rPr>
            </w:pPr>
            <w:r w:rsidRPr="00720945">
              <w:rPr>
                <w:rFonts w:ascii="Calibri" w:hAnsi="Calibri" w:cs="Calibri"/>
                <w:color w:val="000000" w:themeColor="text1"/>
                <w:sz w:val="18"/>
                <w:szCs w:val="18"/>
                <w:lang w:eastAsia="x-none"/>
              </w:rPr>
              <w:t>Declara não reunir as condições materiais para ser uma micro, uma pequena ou uma média empresa, nos termos do disposto no n.º 1 do artigo 2º do Decreto-Lei n.º 372/2007, de 6 de novembro, na sua redação atual e respetivo anexo, e que correspondem às previstas na Recomendação da Comissão n.º 2003/361/CE, da Comissão Europeia, de 6 de maio;</w:t>
            </w:r>
          </w:p>
          <w:p w14:paraId="252B33D8" w14:textId="77777777" w:rsidR="002F4215" w:rsidRPr="00720945" w:rsidRDefault="002F4215" w:rsidP="002F4215">
            <w:pPr>
              <w:numPr>
                <w:ilvl w:val="0"/>
                <w:numId w:val="4"/>
              </w:numPr>
              <w:autoSpaceDE w:val="0"/>
              <w:autoSpaceDN w:val="0"/>
              <w:adjustRightInd w:val="0"/>
              <w:spacing w:line="240" w:lineRule="auto"/>
              <w:jc w:val="both"/>
              <w:rPr>
                <w:rFonts w:cstheme="minorHAnsi"/>
                <w:color w:val="000000" w:themeColor="text1"/>
                <w:sz w:val="18"/>
                <w:szCs w:val="18"/>
                <w:lang w:eastAsia="x-none"/>
              </w:rPr>
            </w:pPr>
            <w:r w:rsidRPr="00720945">
              <w:rPr>
                <w:rFonts w:ascii="Calibri" w:hAnsi="Calibri" w:cs="Calibri"/>
                <w:color w:val="000000" w:themeColor="text1"/>
                <w:sz w:val="18"/>
                <w:szCs w:val="18"/>
                <w:lang w:eastAsia="x-none"/>
              </w:rPr>
              <w:t>Declara não reunir as condições materiais para ser uma empresa de pequena-média capitalização (Small MidCap) ou uma empresa de média capitalização (MidCap), nos termos do n.º 2, do n.º 3 e do n.º 4 do artigo 2º do Decreto-Lei n.º 372/2007, de 6 de novembro, na sua redação atual.</w:t>
            </w:r>
          </w:p>
        </w:tc>
      </w:tr>
      <w:tr w:rsidR="002F4215" w:rsidRPr="00720945" w14:paraId="6FE1EC69" w14:textId="77777777" w:rsidTr="00F91A8E">
        <w:trPr>
          <w:trHeight w:val="699"/>
        </w:trPr>
        <w:tc>
          <w:tcPr>
            <w:tcW w:w="418" w:type="dxa"/>
            <w:shd w:val="clear" w:color="auto" w:fill="auto"/>
          </w:tcPr>
          <w:p w14:paraId="4D463AF6" w14:textId="56E76066"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r w:rsidRPr="00720945">
              <w:rPr>
                <w:rFonts w:ascii="Calibri" w:hAnsi="Calibri" w:cs="Calibri"/>
                <w:color w:val="000000" w:themeColor="text1"/>
                <w:sz w:val="16"/>
                <w:szCs w:val="16"/>
              </w:rPr>
              <w:lastRenderedPageBreak/>
              <w:t>5)</w:t>
            </w:r>
          </w:p>
        </w:tc>
        <w:tc>
          <w:tcPr>
            <w:tcW w:w="10656" w:type="dxa"/>
            <w:gridSpan w:val="4"/>
            <w:shd w:val="clear" w:color="auto" w:fill="auto"/>
          </w:tcPr>
          <w:p w14:paraId="1A50DD24" w14:textId="45F0777D"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noProof/>
                <w:color w:val="000000" w:themeColor="text1"/>
              </w:rPr>
              <mc:AlternateContent>
                <mc:Choice Requires="wps">
                  <w:drawing>
                    <wp:anchor distT="0" distB="0" distL="114300" distR="114300" simplePos="0" relativeHeight="251661312" behindDoc="0" locked="0" layoutInCell="1" allowOverlap="1" wp14:anchorId="25CA5CEC" wp14:editId="237FF8E2">
                      <wp:simplePos x="0" y="0"/>
                      <wp:positionH relativeFrom="column">
                        <wp:posOffset>-7620</wp:posOffset>
                      </wp:positionH>
                      <wp:positionV relativeFrom="paragraph">
                        <wp:posOffset>220345</wp:posOffset>
                      </wp:positionV>
                      <wp:extent cx="198120" cy="198120"/>
                      <wp:effectExtent l="0" t="0" r="1143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07C8A9A5" w14:textId="77777777" w:rsidR="002F4215" w:rsidRPr="006E0735" w:rsidRDefault="002F4215" w:rsidP="002F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A5CEC" id="Text Box 19" o:spid="_x0000_s1029" type="#_x0000_t202" style="position:absolute;left:0;text-align:left;margin-left:-.6pt;margin-top:17.35pt;width:15.6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" fillcolor="window" strokeweight=".5pt">
                      <v:path arrowok="t"/>
                      <v:textbox>
                        <w:txbxContent>
                          <w:p w14:paraId="07C8A9A5" w14:textId="77777777" w:rsidR="002F4215" w:rsidRPr="006E0735" w:rsidRDefault="002F4215" w:rsidP="002F4215"/>
                        </w:txbxContent>
                      </v:textbox>
                    </v:shape>
                  </w:pict>
                </mc:Fallback>
              </mc:AlternateContent>
            </w:r>
            <w:r w:rsidRPr="00720945">
              <w:rPr>
                <w:rFonts w:ascii="Calibri" w:hAnsi="Calibri" w:cs="Calibri"/>
                <w:color w:val="000000" w:themeColor="text1"/>
                <w:sz w:val="18"/>
                <w:szCs w:val="18"/>
              </w:rPr>
              <w:t xml:space="preserve">Escolher uma opção:     </w:t>
            </w:r>
          </w:p>
          <w:p w14:paraId="2B406587" w14:textId="73F0B953" w:rsidR="002F4215" w:rsidRPr="00720945" w:rsidRDefault="002F4215" w:rsidP="00F91A8E">
            <w:pPr>
              <w:autoSpaceDE w:val="0"/>
              <w:autoSpaceDN w:val="0"/>
              <w:adjustRightInd w:val="0"/>
              <w:spacing w:before="120"/>
              <w:jc w:val="both"/>
              <w:rPr>
                <w:rFonts w:ascii="Calibri" w:hAnsi="Calibri" w:cs="Calibri"/>
                <w:color w:val="000000" w:themeColor="text1"/>
                <w:sz w:val="18"/>
                <w:szCs w:val="18"/>
              </w:rPr>
            </w:pPr>
            <w:r w:rsidRPr="00720945">
              <w:rPr>
                <w:rFonts w:ascii="Calibri" w:hAnsi="Calibri" w:cs="Calibri"/>
                <w:color w:val="000000" w:themeColor="text1"/>
                <w:sz w:val="18"/>
                <w:szCs w:val="18"/>
              </w:rPr>
              <w:t xml:space="preserve">          Empresa não sujeita ao disposto na Portaria n.º 295/2021, de 23 de julho;</w:t>
            </w:r>
          </w:p>
          <w:p w14:paraId="6083AF67" w14:textId="585AA10D" w:rsidR="002F4215" w:rsidRPr="00720945" w:rsidRDefault="002F4215" w:rsidP="00F91A8E">
            <w:pPr>
              <w:autoSpaceDE w:val="0"/>
              <w:autoSpaceDN w:val="0"/>
              <w:adjustRightInd w:val="0"/>
              <w:spacing w:before="120"/>
              <w:jc w:val="both"/>
              <w:rPr>
                <w:rFonts w:ascii="Calibri" w:hAnsi="Calibri" w:cs="Calibri"/>
                <w:color w:val="000000" w:themeColor="text1"/>
                <w:sz w:val="18"/>
                <w:szCs w:val="18"/>
              </w:rPr>
            </w:pPr>
          </w:p>
          <w:p w14:paraId="36ECE792" w14:textId="7E166BAB" w:rsidR="002F4215" w:rsidRPr="00720945" w:rsidRDefault="002F4215" w:rsidP="00F91A8E">
            <w:pPr>
              <w:autoSpaceDE w:val="0"/>
              <w:autoSpaceDN w:val="0"/>
              <w:adjustRightInd w:val="0"/>
              <w:spacing w:before="120"/>
              <w:jc w:val="both"/>
              <w:rPr>
                <w:rFonts w:ascii="Calibri" w:hAnsi="Calibri" w:cs="Calibri"/>
                <w:color w:val="000000" w:themeColor="text1"/>
                <w:sz w:val="18"/>
                <w:szCs w:val="18"/>
              </w:rPr>
            </w:pPr>
            <w:r w:rsidRPr="00720945">
              <w:rPr>
                <w:noProof/>
                <w:color w:val="000000" w:themeColor="text1"/>
              </w:rPr>
              <mc:AlternateContent>
                <mc:Choice Requires="wps">
                  <w:drawing>
                    <wp:anchor distT="0" distB="0" distL="114300" distR="114300" simplePos="0" relativeHeight="251662336" behindDoc="0" locked="0" layoutInCell="1" allowOverlap="1" wp14:anchorId="5765E9AE" wp14:editId="7BC29BF0">
                      <wp:simplePos x="0" y="0"/>
                      <wp:positionH relativeFrom="column">
                        <wp:posOffset>-3810</wp:posOffset>
                      </wp:positionH>
                      <wp:positionV relativeFrom="paragraph">
                        <wp:posOffset>11430</wp:posOffset>
                      </wp:positionV>
                      <wp:extent cx="198120" cy="198120"/>
                      <wp:effectExtent l="0" t="0" r="1143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98120"/>
                              </a:xfrm>
                              <a:prstGeom prst="rect">
                                <a:avLst/>
                              </a:prstGeom>
                              <a:solidFill>
                                <a:sysClr val="window" lastClr="FFFFFF"/>
                              </a:solidFill>
                              <a:ln w="6350">
                                <a:solidFill>
                                  <a:prstClr val="black"/>
                                </a:solidFill>
                              </a:ln>
                            </wps:spPr>
                            <wps:txbx>
                              <w:txbxContent>
                                <w:p w14:paraId="6009AF76" w14:textId="77777777" w:rsidR="002F4215" w:rsidRPr="006E0735" w:rsidRDefault="002F4215" w:rsidP="002F4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5E9AE" id="Text Box 20" o:spid="_x0000_s1030" type="#_x0000_t202" style="position:absolute;left:0;text-align:left;margin-left:-.3pt;margin-top:.9pt;width:15.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" fillcolor="window" strokeweight=".5pt">
                      <v:path arrowok="t"/>
                      <v:textbox>
                        <w:txbxContent>
                          <w:p w14:paraId="6009AF76" w14:textId="77777777" w:rsidR="002F4215" w:rsidRPr="006E0735" w:rsidRDefault="002F4215" w:rsidP="002F4215"/>
                        </w:txbxContent>
                      </v:textbox>
                    </v:shape>
                  </w:pict>
                </mc:Fallback>
              </mc:AlternateContent>
            </w:r>
            <w:r w:rsidRPr="00720945">
              <w:rPr>
                <w:rFonts w:ascii="Calibri" w:hAnsi="Calibri" w:cs="Calibri"/>
                <w:color w:val="000000" w:themeColor="text1"/>
                <w:sz w:val="18"/>
                <w:szCs w:val="18"/>
              </w:rPr>
              <w:t xml:space="preserve">         Empresa sujeita ao disposto na Portaria n.º 295/2021; de 23 de julho, em virtude de nos termos do Artigo 2º: </w:t>
            </w:r>
          </w:p>
          <w:p w14:paraId="397CAE1F" w14:textId="72D83FCA" w:rsidR="002F4215" w:rsidRPr="00720945" w:rsidRDefault="002F4215" w:rsidP="00F91A8E">
            <w:pPr>
              <w:autoSpaceDE w:val="0"/>
              <w:autoSpaceDN w:val="0"/>
              <w:adjustRightInd w:val="0"/>
              <w:ind w:left="737"/>
              <w:jc w:val="both"/>
              <w:rPr>
                <w:rFonts w:ascii="Calibri" w:hAnsi="Calibri" w:cs="Calibri"/>
                <w:color w:val="000000" w:themeColor="text1"/>
                <w:sz w:val="18"/>
                <w:szCs w:val="18"/>
              </w:rPr>
            </w:pPr>
            <w:r w:rsidRPr="00720945">
              <w:rPr>
                <w:rFonts w:ascii="Calibri" w:hAnsi="Calibri" w:cs="Calibri"/>
                <w:color w:val="000000" w:themeColor="text1"/>
                <w:sz w:val="18"/>
                <w:szCs w:val="18"/>
              </w:rPr>
              <w:t>a) Não ser considerada, no período referido na alínea b), micro, pequena ou média empresa, nos termos previstos no anexo ao Decreto-Lei n.º 372/2007, de 6 de novembro, na sua redação atual;</w:t>
            </w:r>
          </w:p>
          <w:p w14:paraId="7F30AC2E" w14:textId="792A08B8" w:rsidR="002F4215" w:rsidRPr="00720945" w:rsidRDefault="002F4215" w:rsidP="00F91A8E">
            <w:pPr>
              <w:autoSpaceDE w:val="0"/>
              <w:autoSpaceDN w:val="0"/>
              <w:adjustRightInd w:val="0"/>
              <w:ind w:left="737"/>
              <w:jc w:val="both"/>
              <w:rPr>
                <w:rFonts w:ascii="Calibri" w:hAnsi="Calibri" w:cs="Calibri"/>
                <w:color w:val="000000" w:themeColor="text1"/>
                <w:sz w:val="18"/>
                <w:szCs w:val="18"/>
              </w:rPr>
            </w:pPr>
            <w:r w:rsidRPr="00720945">
              <w:rPr>
                <w:rFonts w:ascii="Calibri" w:hAnsi="Calibri" w:cs="Calibri"/>
                <w:color w:val="000000" w:themeColor="text1"/>
                <w:sz w:val="18"/>
                <w:szCs w:val="18"/>
              </w:rPr>
              <w:t>b) Tenha registado um resultado líquido positivo no período contabilístico respeitante ao ano civil de 2020 ou, caso o período contabilístico não coincida com o civil, respeitante ao período contabilístico que inicie em ou após 1 de janeiro de 2020, de acordo com as respetivas contas aprovadas pelos seus órgãos sociais, nos termos da legislação aplicável.</w:t>
            </w:r>
          </w:p>
          <w:p w14:paraId="094A6783" w14:textId="291D070A" w:rsidR="002F4215" w:rsidRPr="00720945" w:rsidRDefault="002F4215" w:rsidP="00F91A8E">
            <w:pPr>
              <w:autoSpaceDE w:val="0"/>
              <w:autoSpaceDN w:val="0"/>
              <w:adjustRightInd w:val="0"/>
              <w:ind w:left="27" w:hanging="27"/>
              <w:jc w:val="both"/>
              <w:rPr>
                <w:rFonts w:ascii="Calibri" w:hAnsi="Calibri" w:cs="Calibri"/>
                <w:color w:val="000000" w:themeColor="text1"/>
                <w:sz w:val="18"/>
                <w:szCs w:val="18"/>
              </w:rPr>
            </w:pPr>
            <w:r w:rsidRPr="00720945">
              <w:rPr>
                <w:rFonts w:ascii="Calibri" w:hAnsi="Calibri" w:cs="Calibri"/>
                <w:color w:val="000000" w:themeColor="text1"/>
                <w:sz w:val="18"/>
                <w:szCs w:val="18"/>
              </w:rPr>
              <w:t>Sendo uma empresa sujeita a este normativo legal, o acesso aos apoios públicos durante o ano de 2021, fica condicionado à observância da manutenção do nível de emprego</w:t>
            </w:r>
            <w:r w:rsidRPr="00720945">
              <w:rPr>
                <w:rFonts w:ascii="Calibri" w:hAnsi="Calibri" w:cs="Calibri"/>
                <w:color w:val="000000" w:themeColor="text1"/>
                <w:sz w:val="18"/>
                <w:szCs w:val="18"/>
                <w:vertAlign w:val="superscript"/>
              </w:rPr>
              <w:footnoteReference w:id="1"/>
            </w:r>
            <w:r w:rsidRPr="00720945">
              <w:rPr>
                <w:rFonts w:ascii="Calibri" w:hAnsi="Calibri" w:cs="Calibri"/>
                <w:color w:val="000000" w:themeColor="text1"/>
                <w:sz w:val="18"/>
                <w:szCs w:val="18"/>
              </w:rPr>
              <w:t>, nos termos constantes dos artigos 3º e 4º da Portaria suprarreferida. Nesse sentido, no Artigo 3º é referido que a empresa se obriga a cumprir os seguintes requisitos:</w:t>
            </w:r>
          </w:p>
          <w:p w14:paraId="0671B761" w14:textId="77777777" w:rsidR="002F4215" w:rsidRPr="00720945" w:rsidRDefault="002F4215" w:rsidP="00F91A8E">
            <w:pPr>
              <w:autoSpaceDE w:val="0"/>
              <w:autoSpaceDN w:val="0"/>
              <w:adjustRightInd w:val="0"/>
              <w:ind w:left="737"/>
              <w:jc w:val="both"/>
              <w:rPr>
                <w:rFonts w:ascii="Calibri" w:hAnsi="Calibri" w:cs="Calibri"/>
                <w:color w:val="000000" w:themeColor="text1"/>
                <w:sz w:val="18"/>
                <w:szCs w:val="18"/>
              </w:rPr>
            </w:pPr>
            <w:r w:rsidRPr="00720945">
              <w:rPr>
                <w:rFonts w:ascii="Calibri" w:hAnsi="Calibri" w:cs="Calibri"/>
                <w:color w:val="000000" w:themeColor="text1"/>
                <w:sz w:val="18"/>
                <w:szCs w:val="18"/>
              </w:rPr>
              <w:t xml:space="preserve">a) A entidade teve ao seu serviço um número médio de trabalhadores igual ou superior ao nível observado em outubro de 2020. O </w:t>
            </w:r>
            <w:r w:rsidRPr="00720945">
              <w:rPr>
                <w:rFonts w:ascii="Calibri" w:hAnsi="Calibri" w:cs="Calibri"/>
                <w:color w:val="000000" w:themeColor="text1"/>
                <w:sz w:val="18"/>
                <w:szCs w:val="18"/>
              </w:rPr>
              <w:lastRenderedPageBreak/>
              <w:t>número médio de trabalhadores referido é apurado tendo em conta o número de trabalhadores da empresa nos meses decorridos entre o mês de outubro de 2020 e o mês anterior ao da candidatura.</w:t>
            </w:r>
          </w:p>
          <w:p w14:paraId="5394ACD9" w14:textId="77777777" w:rsidR="002F4215" w:rsidRPr="00720945" w:rsidRDefault="002F4215" w:rsidP="00F91A8E">
            <w:pPr>
              <w:autoSpaceDE w:val="0"/>
              <w:autoSpaceDN w:val="0"/>
              <w:adjustRightInd w:val="0"/>
              <w:ind w:left="737"/>
              <w:jc w:val="both"/>
              <w:rPr>
                <w:rFonts w:ascii="Calibri" w:hAnsi="Calibri" w:cs="Calibri"/>
                <w:color w:val="000000" w:themeColor="text1"/>
                <w:sz w:val="18"/>
                <w:szCs w:val="18"/>
              </w:rPr>
            </w:pPr>
            <w:r w:rsidRPr="00720945">
              <w:rPr>
                <w:rFonts w:ascii="Calibri" w:hAnsi="Calibri" w:cs="Calibri"/>
                <w:color w:val="000000" w:themeColor="text1"/>
                <w:sz w:val="18"/>
                <w:szCs w:val="18"/>
              </w:rPr>
              <w:t>b) A proibição de fazer cessar contratos de trabalho ao abrigo das modalidades de despedimento coletivo, de despedimento por extinção do posto de trabalho, ou de despedimento por inadaptação, previstos nos artigos 359.º, 367.º e 373.º do Código do Trabalho, aprovado em anexo à Lei n.º 7/2009, de 12 de fevereiro, na sua redação atual, respetivamente, bem como de iniciar os respetivos procedimentos, até 31 de dezembro de 2021, sem prejuízo do disposto na alínea d) do artigo 2.º do anexo V da Lei n.º 27 -A/2020, de 24 de julho;</w:t>
            </w:r>
          </w:p>
          <w:p w14:paraId="09B7EBE8" w14:textId="77777777" w:rsidR="002F4215" w:rsidRPr="00720945" w:rsidRDefault="002F4215" w:rsidP="00F91A8E">
            <w:pPr>
              <w:autoSpaceDE w:val="0"/>
              <w:autoSpaceDN w:val="0"/>
              <w:adjustRightInd w:val="0"/>
              <w:ind w:left="737"/>
              <w:jc w:val="both"/>
              <w:rPr>
                <w:rFonts w:ascii="Calibri" w:hAnsi="Calibri" w:cs="Calibri"/>
                <w:color w:val="000000" w:themeColor="text1"/>
                <w:sz w:val="18"/>
                <w:szCs w:val="18"/>
              </w:rPr>
            </w:pPr>
            <w:r w:rsidRPr="00720945">
              <w:rPr>
                <w:rFonts w:ascii="Calibri" w:hAnsi="Calibri" w:cs="Calibri"/>
                <w:color w:val="000000" w:themeColor="text1"/>
                <w:sz w:val="18"/>
                <w:szCs w:val="18"/>
              </w:rPr>
              <w:t>c) O dever de manutenção até 31 de dezembro de 2021, de um número médio de trabalhadores não inferior ao existente em 01 outubro de 2020, apurado nos termos dos números 2 e 3 do artigo 3º, com as devidas adaptações.</w:t>
            </w:r>
          </w:p>
        </w:tc>
      </w:tr>
      <w:tr w:rsidR="002F4215" w:rsidRPr="00720945" w14:paraId="28363CC3" w14:textId="77777777" w:rsidTr="00F91A8E">
        <w:trPr>
          <w:trHeight w:val="1692"/>
        </w:trPr>
        <w:tc>
          <w:tcPr>
            <w:tcW w:w="418" w:type="dxa"/>
            <w:shd w:val="clear" w:color="auto" w:fill="auto"/>
          </w:tcPr>
          <w:p w14:paraId="49375CC6"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r w:rsidRPr="00720945">
              <w:rPr>
                <w:rFonts w:ascii="Calibri" w:hAnsi="Calibri" w:cs="Calibri"/>
                <w:color w:val="000000" w:themeColor="text1"/>
                <w:sz w:val="16"/>
                <w:szCs w:val="16"/>
              </w:rPr>
              <w:lastRenderedPageBreak/>
              <w:t>6)</w:t>
            </w:r>
          </w:p>
        </w:tc>
        <w:tc>
          <w:tcPr>
            <w:tcW w:w="10656" w:type="dxa"/>
            <w:gridSpan w:val="4"/>
            <w:shd w:val="clear" w:color="auto" w:fill="auto"/>
          </w:tcPr>
          <w:p w14:paraId="6BEEEFAB"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Mais declara, ter perfeito conhecimento que o reporte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 e/ou a devolução dos montantes indevidamente recebidos.</w:t>
            </w:r>
          </w:p>
          <w:p w14:paraId="486D67DC"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No caso de empresas abrangidas pelo disposto na Portaria n.º 295/2021 de 23 de julho de 2021, nos termos do ponto 5) da presente declaração, o não cumprimento da manutenção do nível de emprego suprarreferido, implica a imediata cessação dos apoios públicos, com a consequente restituição da totalidade dos montantes já recebidos, conforme previsto na alínea a) do nº 2 do artigo 6º desse diploma legal.</w:t>
            </w:r>
          </w:p>
        </w:tc>
      </w:tr>
      <w:tr w:rsidR="002F4215" w:rsidRPr="00720945" w14:paraId="17C338FB" w14:textId="77777777" w:rsidTr="00F91A8E">
        <w:trPr>
          <w:trHeight w:val="372"/>
        </w:trPr>
        <w:tc>
          <w:tcPr>
            <w:tcW w:w="11074" w:type="dxa"/>
            <w:gridSpan w:val="5"/>
            <w:shd w:val="clear" w:color="auto" w:fill="auto"/>
          </w:tcPr>
          <w:p w14:paraId="43C5D683" w14:textId="77777777" w:rsidR="002F4215" w:rsidRPr="00720945" w:rsidRDefault="002F4215" w:rsidP="00F91A8E">
            <w:pPr>
              <w:jc w:val="center"/>
              <w:rPr>
                <w:rFonts w:ascii="Calibri" w:hAnsi="Calibri" w:cs="Calibri"/>
                <w:color w:val="000000" w:themeColor="text1"/>
              </w:rPr>
            </w:pPr>
            <w:r w:rsidRPr="00720945">
              <w:rPr>
                <w:rFonts w:ascii="Calibri" w:hAnsi="Calibri" w:cs="Calibri"/>
                <w:color w:val="000000" w:themeColor="text1"/>
                <w:sz w:val="16"/>
              </w:rPr>
              <w:t>Assinaturas</w:t>
            </w:r>
          </w:p>
        </w:tc>
      </w:tr>
      <w:tr w:rsidR="002F4215" w:rsidRPr="00720945" w14:paraId="08EE5EE7" w14:textId="77777777" w:rsidTr="00F91A8E">
        <w:trPr>
          <w:trHeight w:val="396"/>
        </w:trPr>
        <w:tc>
          <w:tcPr>
            <w:tcW w:w="11074" w:type="dxa"/>
            <w:gridSpan w:val="5"/>
            <w:shd w:val="clear" w:color="auto" w:fill="auto"/>
          </w:tcPr>
          <w:p w14:paraId="376DC369" w14:textId="77777777" w:rsidR="002F4215" w:rsidRPr="00720945" w:rsidRDefault="002F4215" w:rsidP="00F91A8E">
            <w:pPr>
              <w:jc w:val="center"/>
              <w:rPr>
                <w:rFonts w:ascii="Calibri" w:hAnsi="Calibri" w:cs="Calibri"/>
                <w:b/>
                <w:color w:val="000000" w:themeColor="text1"/>
                <w:sz w:val="18"/>
              </w:rPr>
            </w:pPr>
            <w:r w:rsidRPr="00720945">
              <w:rPr>
                <w:rFonts w:ascii="Calibri" w:hAnsi="Calibri" w:cs="Calibri"/>
                <w:b/>
                <w:color w:val="000000" w:themeColor="text1"/>
                <w:sz w:val="18"/>
              </w:rPr>
              <w:t>Representantes do Beneficiário</w:t>
            </w:r>
          </w:p>
        </w:tc>
      </w:tr>
      <w:tr w:rsidR="002F4215" w:rsidRPr="00720945" w14:paraId="1E4EC7F8" w14:textId="77777777" w:rsidTr="00F91A8E">
        <w:trPr>
          <w:trHeight w:val="1404"/>
        </w:trPr>
        <w:tc>
          <w:tcPr>
            <w:tcW w:w="11074" w:type="dxa"/>
            <w:gridSpan w:val="5"/>
            <w:shd w:val="clear" w:color="auto" w:fill="auto"/>
          </w:tcPr>
          <w:p w14:paraId="3BBB6988" w14:textId="77777777" w:rsidR="002F4215" w:rsidRPr="00720945" w:rsidRDefault="002F4215" w:rsidP="00F91A8E">
            <w:pPr>
              <w:jc w:val="center"/>
              <w:rPr>
                <w:rFonts w:ascii="Calibri" w:hAnsi="Calibri" w:cs="Calibri"/>
                <w:color w:val="000000" w:themeColor="text1"/>
                <w:sz w:val="16"/>
                <w:szCs w:val="16"/>
              </w:rPr>
            </w:pPr>
            <w:r w:rsidRPr="00720945">
              <w:rPr>
                <w:rFonts w:ascii="Calibri" w:hAnsi="Calibri" w:cs="Calibri"/>
                <w:color w:val="000000" w:themeColor="text1"/>
                <w:sz w:val="16"/>
                <w:szCs w:val="16"/>
              </w:rPr>
              <w:t>Data, Assinatura e Carimbo.</w:t>
            </w:r>
          </w:p>
          <w:p w14:paraId="1FCC674A" w14:textId="77777777" w:rsidR="002F4215" w:rsidRPr="00720945" w:rsidRDefault="002F4215" w:rsidP="00F91A8E">
            <w:pPr>
              <w:jc w:val="center"/>
              <w:rPr>
                <w:rFonts w:ascii="Calibri" w:hAnsi="Calibri" w:cs="Calibri"/>
                <w:color w:val="000000" w:themeColor="text1"/>
                <w:sz w:val="16"/>
                <w:szCs w:val="16"/>
              </w:rPr>
            </w:pPr>
          </w:p>
          <w:p w14:paraId="7FA35666" w14:textId="77777777" w:rsidR="002F4215" w:rsidRPr="00720945" w:rsidRDefault="002F4215" w:rsidP="00F91A8E">
            <w:pPr>
              <w:jc w:val="center"/>
              <w:rPr>
                <w:rFonts w:ascii="Calibri" w:hAnsi="Calibri" w:cs="Calibri"/>
                <w:color w:val="000000" w:themeColor="text1"/>
                <w:sz w:val="16"/>
                <w:szCs w:val="16"/>
              </w:rPr>
            </w:pPr>
          </w:p>
          <w:p w14:paraId="38368310" w14:textId="77777777" w:rsidR="002F4215" w:rsidRPr="00720945" w:rsidRDefault="002F4215" w:rsidP="00F91A8E">
            <w:pPr>
              <w:jc w:val="center"/>
              <w:rPr>
                <w:rFonts w:ascii="Calibri" w:hAnsi="Calibri" w:cs="Calibri"/>
                <w:color w:val="000000" w:themeColor="text1"/>
              </w:rPr>
            </w:pPr>
          </w:p>
        </w:tc>
      </w:tr>
      <w:tr w:rsidR="002F4215" w:rsidRPr="00720945" w14:paraId="3EA17D1F" w14:textId="77777777" w:rsidTr="00F91A8E">
        <w:trPr>
          <w:trHeight w:val="371"/>
        </w:trPr>
        <w:tc>
          <w:tcPr>
            <w:tcW w:w="418" w:type="dxa"/>
            <w:vMerge w:val="restart"/>
            <w:shd w:val="clear" w:color="auto" w:fill="auto"/>
          </w:tcPr>
          <w:p w14:paraId="4F5A2FB0" w14:textId="1DF4344F"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r>
              <w:rPr>
                <w:rFonts w:ascii="Calibri" w:hAnsi="Calibri" w:cs="Calibri"/>
                <w:color w:val="000000" w:themeColor="text1"/>
                <w:sz w:val="16"/>
                <w:szCs w:val="16"/>
              </w:rPr>
              <w:t>7</w:t>
            </w:r>
            <w:r w:rsidRPr="00720945">
              <w:rPr>
                <w:rFonts w:ascii="Calibri" w:hAnsi="Calibri" w:cs="Calibri"/>
                <w:color w:val="000000" w:themeColor="text1"/>
                <w:sz w:val="16"/>
                <w:szCs w:val="16"/>
              </w:rPr>
              <w:t>)</w:t>
            </w:r>
          </w:p>
        </w:tc>
        <w:tc>
          <w:tcPr>
            <w:tcW w:w="10656" w:type="dxa"/>
            <w:gridSpan w:val="4"/>
            <w:shd w:val="clear" w:color="auto" w:fill="auto"/>
          </w:tcPr>
          <w:p w14:paraId="51E44E6D" w14:textId="77777777" w:rsidR="002F4215" w:rsidRPr="00720945" w:rsidRDefault="002F4215" w:rsidP="00F91A8E">
            <w:pPr>
              <w:rPr>
                <w:rFonts w:ascii="Calibri" w:hAnsi="Calibri" w:cs="Calibri"/>
                <w:color w:val="000000" w:themeColor="text1"/>
                <w:sz w:val="18"/>
                <w:szCs w:val="18"/>
              </w:rPr>
            </w:pPr>
            <w:r>
              <w:rPr>
                <w:rFonts w:ascii="Calibri" w:hAnsi="Calibri" w:cs="Calibri"/>
                <w:color w:val="000000" w:themeColor="text1"/>
                <w:sz w:val="18"/>
                <w:szCs w:val="18"/>
              </w:rPr>
              <w:t xml:space="preserve">Não sendo uma </w:t>
            </w:r>
            <w:r w:rsidRPr="00B550EF">
              <w:rPr>
                <w:rFonts w:ascii="Calibri" w:hAnsi="Calibri" w:cs="Calibri"/>
                <w:color w:val="000000" w:themeColor="text1"/>
                <w:sz w:val="18"/>
                <w:szCs w:val="18"/>
              </w:rPr>
              <w:t>empresa que opere com os CAE 10413, 10611, 10613, 10711, 10720, 10730, 109, 2015, e 20200</w:t>
            </w:r>
            <w:r>
              <w:rPr>
                <w:rFonts w:ascii="Calibri" w:hAnsi="Calibri" w:cs="Calibri"/>
                <w:color w:val="000000" w:themeColor="text1"/>
                <w:sz w:val="18"/>
                <w:szCs w:val="18"/>
              </w:rPr>
              <w:t>, j</w:t>
            </w:r>
            <w:r w:rsidRPr="00720945">
              <w:rPr>
                <w:rFonts w:ascii="Calibri" w:hAnsi="Calibri" w:cs="Calibri"/>
                <w:color w:val="000000" w:themeColor="text1"/>
                <w:sz w:val="18"/>
                <w:szCs w:val="18"/>
              </w:rPr>
              <w:t>untamente que com o contabilista certificado identificado pelo,</w:t>
            </w:r>
          </w:p>
        </w:tc>
      </w:tr>
      <w:tr w:rsidR="002F4215" w:rsidRPr="00720945" w14:paraId="4524ED2D" w14:textId="77777777" w:rsidTr="00F91A8E">
        <w:trPr>
          <w:trHeight w:val="277"/>
        </w:trPr>
        <w:tc>
          <w:tcPr>
            <w:tcW w:w="418" w:type="dxa"/>
            <w:vMerge/>
            <w:shd w:val="clear" w:color="auto" w:fill="auto"/>
          </w:tcPr>
          <w:p w14:paraId="5449D9B7"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p>
        </w:tc>
        <w:tc>
          <w:tcPr>
            <w:tcW w:w="1852" w:type="dxa"/>
            <w:gridSpan w:val="2"/>
            <w:shd w:val="clear" w:color="auto" w:fill="auto"/>
          </w:tcPr>
          <w:p w14:paraId="303217F3" w14:textId="77777777" w:rsidR="002F4215" w:rsidRPr="00720945" w:rsidRDefault="002F4215" w:rsidP="00F91A8E">
            <w:pPr>
              <w:jc w:val="center"/>
              <w:rPr>
                <w:rFonts w:ascii="Calibri" w:hAnsi="Calibri" w:cs="Calibri"/>
                <w:b/>
                <w:color w:val="000000" w:themeColor="text1"/>
                <w:sz w:val="18"/>
                <w:szCs w:val="18"/>
              </w:rPr>
            </w:pPr>
            <w:r w:rsidRPr="00720945">
              <w:rPr>
                <w:rFonts w:ascii="Calibri" w:hAnsi="Calibri" w:cs="Calibri"/>
                <w:b/>
                <w:color w:val="000000" w:themeColor="text1"/>
                <w:sz w:val="18"/>
                <w:szCs w:val="18"/>
              </w:rPr>
              <w:t>NIF</w:t>
            </w:r>
          </w:p>
        </w:tc>
        <w:tc>
          <w:tcPr>
            <w:tcW w:w="8804" w:type="dxa"/>
            <w:gridSpan w:val="2"/>
            <w:shd w:val="clear" w:color="auto" w:fill="auto"/>
          </w:tcPr>
          <w:p w14:paraId="0CCD9049" w14:textId="77777777" w:rsidR="002F4215" w:rsidRPr="00720945" w:rsidRDefault="002F4215" w:rsidP="00F91A8E">
            <w:pPr>
              <w:rPr>
                <w:rFonts w:ascii="Calibri" w:hAnsi="Calibri" w:cs="Calibri"/>
                <w:color w:val="000000" w:themeColor="text1"/>
                <w:sz w:val="18"/>
                <w:szCs w:val="18"/>
              </w:rPr>
            </w:pPr>
          </w:p>
        </w:tc>
      </w:tr>
      <w:tr w:rsidR="002F4215" w:rsidRPr="00720945" w14:paraId="7DDE8C4D" w14:textId="77777777" w:rsidTr="00F91A8E">
        <w:trPr>
          <w:trHeight w:val="277"/>
        </w:trPr>
        <w:tc>
          <w:tcPr>
            <w:tcW w:w="418" w:type="dxa"/>
            <w:vMerge/>
            <w:shd w:val="clear" w:color="auto" w:fill="auto"/>
          </w:tcPr>
          <w:p w14:paraId="34ABBB14"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p>
        </w:tc>
        <w:tc>
          <w:tcPr>
            <w:tcW w:w="1852" w:type="dxa"/>
            <w:gridSpan w:val="2"/>
            <w:shd w:val="clear" w:color="auto" w:fill="auto"/>
          </w:tcPr>
          <w:p w14:paraId="3B34BF0A" w14:textId="77777777" w:rsidR="002F4215" w:rsidRPr="00720945" w:rsidRDefault="002F4215" w:rsidP="00F91A8E">
            <w:pPr>
              <w:jc w:val="center"/>
              <w:rPr>
                <w:rFonts w:ascii="Calibri" w:hAnsi="Calibri" w:cs="Calibri"/>
                <w:b/>
                <w:color w:val="000000" w:themeColor="text1"/>
                <w:sz w:val="18"/>
                <w:szCs w:val="18"/>
              </w:rPr>
            </w:pPr>
            <w:r w:rsidRPr="00720945">
              <w:rPr>
                <w:rFonts w:ascii="Calibri" w:hAnsi="Calibri" w:cs="Calibri"/>
                <w:b/>
                <w:color w:val="000000" w:themeColor="text1"/>
                <w:sz w:val="18"/>
                <w:szCs w:val="18"/>
              </w:rPr>
              <w:t>Nome</w:t>
            </w:r>
          </w:p>
        </w:tc>
        <w:tc>
          <w:tcPr>
            <w:tcW w:w="8804" w:type="dxa"/>
            <w:gridSpan w:val="2"/>
            <w:shd w:val="clear" w:color="auto" w:fill="auto"/>
          </w:tcPr>
          <w:p w14:paraId="7191B520" w14:textId="77777777" w:rsidR="002F4215" w:rsidRPr="00720945" w:rsidRDefault="002F4215" w:rsidP="00F91A8E">
            <w:pPr>
              <w:rPr>
                <w:rFonts w:ascii="Calibri" w:hAnsi="Calibri" w:cs="Calibri"/>
                <w:color w:val="000000" w:themeColor="text1"/>
                <w:sz w:val="18"/>
                <w:szCs w:val="18"/>
              </w:rPr>
            </w:pPr>
          </w:p>
        </w:tc>
      </w:tr>
      <w:tr w:rsidR="002F4215" w:rsidRPr="00720945" w14:paraId="77900DDC" w14:textId="77777777" w:rsidTr="00F91A8E">
        <w:trPr>
          <w:trHeight w:val="727"/>
        </w:trPr>
        <w:tc>
          <w:tcPr>
            <w:tcW w:w="418" w:type="dxa"/>
            <w:vMerge/>
            <w:shd w:val="clear" w:color="auto" w:fill="auto"/>
          </w:tcPr>
          <w:p w14:paraId="5DB95397" w14:textId="77777777" w:rsidR="002F4215" w:rsidRPr="00720945" w:rsidRDefault="002F4215" w:rsidP="00F91A8E">
            <w:pPr>
              <w:autoSpaceDE w:val="0"/>
              <w:autoSpaceDN w:val="0"/>
              <w:adjustRightInd w:val="0"/>
              <w:spacing w:line="360" w:lineRule="auto"/>
              <w:jc w:val="both"/>
              <w:rPr>
                <w:rFonts w:ascii="Calibri" w:hAnsi="Calibri" w:cs="Calibri"/>
                <w:color w:val="000000" w:themeColor="text1"/>
                <w:sz w:val="16"/>
                <w:szCs w:val="16"/>
              </w:rPr>
            </w:pPr>
          </w:p>
        </w:tc>
        <w:tc>
          <w:tcPr>
            <w:tcW w:w="10656" w:type="dxa"/>
            <w:gridSpan w:val="4"/>
            <w:shd w:val="clear" w:color="auto" w:fill="auto"/>
          </w:tcPr>
          <w:p w14:paraId="29C8BE2B"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r w:rsidRPr="00720945">
              <w:rPr>
                <w:rFonts w:ascii="Calibri" w:hAnsi="Calibri" w:cs="Calibri"/>
                <w:color w:val="000000" w:themeColor="text1"/>
                <w:sz w:val="18"/>
                <w:szCs w:val="18"/>
              </w:rPr>
              <w:t xml:space="preserve">Apresenta um dos seguintes impactos financeiros resultantes do aumento dos custos energéticos e/ou do aumento dos custos das matérias-primas nomeadamente (escolher uma das opções): </w:t>
            </w:r>
          </w:p>
          <w:p w14:paraId="15344A32" w14:textId="77777777" w:rsidR="002F4215" w:rsidRPr="00720945" w:rsidRDefault="002F4215" w:rsidP="002F4215">
            <w:pPr>
              <w:widowControl/>
              <w:numPr>
                <w:ilvl w:val="0"/>
                <w:numId w:val="5"/>
              </w:numPr>
              <w:autoSpaceDE w:val="0"/>
              <w:autoSpaceDN w:val="0"/>
              <w:adjustRightInd w:val="0"/>
              <w:spacing w:after="0"/>
              <w:ind w:left="178" w:firstLine="0"/>
              <w:jc w:val="both"/>
              <w:rPr>
                <w:rFonts w:ascii="Calibri" w:hAnsi="Calibri" w:cs="Calibri"/>
                <w:color w:val="000000" w:themeColor="text1"/>
                <w:sz w:val="18"/>
                <w:szCs w:val="18"/>
              </w:rPr>
            </w:pPr>
            <w:r w:rsidRPr="00720945">
              <w:rPr>
                <w:rFonts w:ascii="Calibri" w:hAnsi="Calibri" w:cs="Calibri"/>
                <w:color w:val="000000" w:themeColor="text1"/>
                <w:sz w:val="18"/>
                <w:szCs w:val="18"/>
              </w:rPr>
              <w:t xml:space="preserve">Apresenta em 2019 um peso </w:t>
            </w:r>
            <w:r>
              <w:rPr>
                <w:rFonts w:ascii="Calibri" w:hAnsi="Calibri" w:cs="Calibri"/>
                <w:color w:val="000000" w:themeColor="text1"/>
                <w:sz w:val="18"/>
                <w:szCs w:val="18"/>
              </w:rPr>
              <w:t>igual ou superior a</w:t>
            </w:r>
            <w:r w:rsidRPr="00720945">
              <w:rPr>
                <w:rFonts w:ascii="Calibri" w:hAnsi="Calibri" w:cs="Calibri"/>
                <w:color w:val="000000" w:themeColor="text1"/>
                <w:sz w:val="18"/>
                <w:szCs w:val="18"/>
              </w:rPr>
              <w:t xml:space="preserve"> 20% de custos energéticos no total dos custos de produção </w:t>
            </w:r>
          </w:p>
          <w:p w14:paraId="120F1A16" w14:textId="77777777" w:rsidR="002F4215" w:rsidRPr="00720945" w:rsidRDefault="002F4215" w:rsidP="002F4215">
            <w:pPr>
              <w:widowControl/>
              <w:numPr>
                <w:ilvl w:val="0"/>
                <w:numId w:val="5"/>
              </w:numPr>
              <w:autoSpaceDE w:val="0"/>
              <w:autoSpaceDN w:val="0"/>
              <w:adjustRightInd w:val="0"/>
              <w:spacing w:after="0"/>
              <w:ind w:left="178" w:firstLine="0"/>
              <w:jc w:val="both"/>
              <w:rPr>
                <w:rFonts w:ascii="Calibri" w:hAnsi="Calibri" w:cs="Calibri"/>
                <w:color w:val="000000" w:themeColor="text1"/>
                <w:sz w:val="18"/>
                <w:szCs w:val="18"/>
              </w:rPr>
            </w:pPr>
            <w:r w:rsidRPr="00720945">
              <w:rPr>
                <w:rFonts w:ascii="Calibri" w:hAnsi="Calibri" w:cs="Calibri"/>
                <w:color w:val="000000" w:themeColor="text1"/>
                <w:sz w:val="18"/>
                <w:szCs w:val="18"/>
              </w:rPr>
              <w:t xml:space="preserve">Apresenta à presente data um peso dos custos energéticos no total dos custos de produção </w:t>
            </w:r>
            <w:r>
              <w:rPr>
                <w:rFonts w:ascii="Calibri" w:hAnsi="Calibri" w:cs="Calibri"/>
                <w:color w:val="000000" w:themeColor="text1"/>
                <w:sz w:val="18"/>
                <w:szCs w:val="18"/>
              </w:rPr>
              <w:t xml:space="preserve">igual ou </w:t>
            </w:r>
            <w:r w:rsidRPr="00720945">
              <w:rPr>
                <w:rFonts w:ascii="Calibri" w:hAnsi="Calibri" w:cs="Calibri"/>
                <w:color w:val="000000" w:themeColor="text1"/>
                <w:sz w:val="18"/>
                <w:szCs w:val="18"/>
              </w:rPr>
              <w:t>superior a 20%</w:t>
            </w:r>
          </w:p>
          <w:p w14:paraId="68688120" w14:textId="77777777" w:rsidR="002F4215" w:rsidRPr="00B15B03" w:rsidRDefault="002F4215" w:rsidP="002F4215">
            <w:pPr>
              <w:widowControl/>
              <w:numPr>
                <w:ilvl w:val="0"/>
                <w:numId w:val="5"/>
              </w:numPr>
              <w:autoSpaceDE w:val="0"/>
              <w:autoSpaceDN w:val="0"/>
              <w:adjustRightInd w:val="0"/>
              <w:spacing w:after="0"/>
              <w:ind w:left="178" w:firstLine="0"/>
              <w:jc w:val="both"/>
              <w:rPr>
                <w:rFonts w:ascii="Calibri" w:hAnsi="Calibri" w:cs="Calibri"/>
                <w:color w:val="000000" w:themeColor="text1"/>
                <w:sz w:val="18"/>
                <w:szCs w:val="18"/>
              </w:rPr>
            </w:pPr>
            <w:r w:rsidRPr="00B15B03">
              <w:rPr>
                <w:rFonts w:ascii="Calibri" w:hAnsi="Calibri" w:cs="Calibri"/>
                <w:color w:val="000000" w:themeColor="text1"/>
                <w:sz w:val="18"/>
                <w:szCs w:val="18"/>
              </w:rPr>
              <w:t>Regista um aumento do custo das mercadorias vendidas e das matérias consumidas (CMVMC)</w:t>
            </w:r>
            <w:r w:rsidRPr="00720945">
              <w:rPr>
                <w:rStyle w:val="FootnoteReference"/>
                <w:rFonts w:ascii="Arial" w:hAnsi="Arial" w:cs="Arial"/>
                <w:color w:val="000000" w:themeColor="text1"/>
              </w:rPr>
              <w:footnoteReference w:id="2"/>
            </w:r>
            <w:r w:rsidRPr="00B15B03">
              <w:rPr>
                <w:rFonts w:ascii="Calibri" w:hAnsi="Calibri" w:cs="Calibri"/>
                <w:color w:val="000000" w:themeColor="text1"/>
                <w:sz w:val="18"/>
                <w:szCs w:val="18"/>
              </w:rPr>
              <w:t xml:space="preserve"> </w:t>
            </w:r>
            <w:r>
              <w:rPr>
                <w:rFonts w:ascii="Calibri" w:hAnsi="Calibri" w:cs="Calibri"/>
                <w:color w:val="000000" w:themeColor="text1"/>
                <w:sz w:val="18"/>
                <w:szCs w:val="18"/>
              </w:rPr>
              <w:t>igual ou superior a</w:t>
            </w:r>
            <w:r w:rsidRPr="00B15B03">
              <w:rPr>
                <w:rFonts w:ascii="Calibri" w:hAnsi="Calibri" w:cs="Calibri"/>
                <w:color w:val="000000" w:themeColor="text1"/>
                <w:sz w:val="18"/>
                <w:szCs w:val="18"/>
              </w:rPr>
              <w:t xml:space="preserve"> 20% no 4º trimestre de 2021 fac</w:t>
            </w:r>
            <w:r>
              <w:rPr>
                <w:rFonts w:ascii="Calibri" w:hAnsi="Calibri" w:cs="Calibri"/>
                <w:color w:val="000000" w:themeColor="text1"/>
                <w:sz w:val="18"/>
                <w:szCs w:val="18"/>
              </w:rPr>
              <w:t>e</w:t>
            </w:r>
            <w:r w:rsidRPr="00B15B03">
              <w:rPr>
                <w:rFonts w:ascii="Calibri" w:hAnsi="Calibri" w:cs="Calibri"/>
                <w:color w:val="000000" w:themeColor="text1"/>
                <w:sz w:val="18"/>
                <w:szCs w:val="18"/>
              </w:rPr>
              <w:t xml:space="preserve"> ao 4º trimestre de 2019  </w:t>
            </w:r>
          </w:p>
          <w:p w14:paraId="0C2E9F3D" w14:textId="77777777" w:rsidR="002F4215" w:rsidRPr="00720945" w:rsidRDefault="002F4215" w:rsidP="002F4215">
            <w:pPr>
              <w:widowControl/>
              <w:numPr>
                <w:ilvl w:val="0"/>
                <w:numId w:val="5"/>
              </w:numPr>
              <w:autoSpaceDE w:val="0"/>
              <w:autoSpaceDN w:val="0"/>
              <w:adjustRightInd w:val="0"/>
              <w:spacing w:after="0"/>
              <w:ind w:left="178" w:firstLine="0"/>
              <w:jc w:val="both"/>
              <w:rPr>
                <w:rFonts w:ascii="Calibri" w:hAnsi="Calibri" w:cs="Calibri"/>
                <w:color w:val="000000" w:themeColor="text1"/>
                <w:sz w:val="18"/>
                <w:szCs w:val="18"/>
              </w:rPr>
            </w:pPr>
            <w:r w:rsidRPr="00720945">
              <w:rPr>
                <w:rFonts w:ascii="Calibri" w:hAnsi="Calibri" w:cs="Calibri"/>
                <w:color w:val="000000" w:themeColor="text1"/>
                <w:sz w:val="18"/>
                <w:szCs w:val="18"/>
              </w:rPr>
              <w:t>Regista um aumento do custo das mercadorias vendidas e das matérias consumidas (CMVMC)</w:t>
            </w:r>
            <w:r w:rsidRPr="00720945">
              <w:rPr>
                <w:rStyle w:val="FootnoteReference"/>
                <w:rFonts w:ascii="Arial" w:hAnsi="Arial" w:cs="Arial"/>
                <w:color w:val="000000" w:themeColor="text1"/>
              </w:rPr>
              <w:footnoteReference w:id="3"/>
            </w:r>
            <w:r w:rsidRPr="00720945">
              <w:rPr>
                <w:rFonts w:ascii="Calibri" w:hAnsi="Calibri" w:cs="Calibri"/>
                <w:color w:val="000000" w:themeColor="text1"/>
                <w:sz w:val="18"/>
                <w:szCs w:val="18"/>
              </w:rPr>
              <w:t xml:space="preserve"> </w:t>
            </w:r>
            <w:r>
              <w:rPr>
                <w:rFonts w:ascii="Calibri" w:hAnsi="Calibri" w:cs="Calibri"/>
                <w:color w:val="000000" w:themeColor="text1"/>
                <w:sz w:val="18"/>
                <w:szCs w:val="18"/>
              </w:rPr>
              <w:t>igual ou superior a</w:t>
            </w:r>
            <w:r w:rsidRPr="00720945">
              <w:rPr>
                <w:rFonts w:ascii="Calibri" w:hAnsi="Calibri" w:cs="Calibri"/>
                <w:color w:val="000000" w:themeColor="text1"/>
                <w:sz w:val="18"/>
                <w:szCs w:val="18"/>
              </w:rPr>
              <w:t xml:space="preserve"> 20% </w:t>
            </w:r>
            <w:r w:rsidRPr="00CF7C12">
              <w:rPr>
                <w:rFonts w:ascii="Calibri" w:hAnsi="Calibri" w:cs="Calibri"/>
                <w:color w:val="000000" w:themeColor="text1"/>
                <w:sz w:val="18"/>
                <w:szCs w:val="18"/>
              </w:rPr>
              <w:t>nos últimos 3 meses face aos três meses homólogo</w:t>
            </w:r>
            <w:r>
              <w:rPr>
                <w:rFonts w:ascii="Calibri" w:hAnsi="Calibri" w:cs="Calibri"/>
                <w:color w:val="000000" w:themeColor="text1"/>
                <w:sz w:val="18"/>
                <w:szCs w:val="18"/>
              </w:rPr>
              <w:t xml:space="preserve">s de 2019/2020 </w:t>
            </w:r>
            <w:r w:rsidRPr="00EC2869">
              <w:rPr>
                <w:rStyle w:val="FootnoteReference"/>
                <w:rFonts w:ascii="Arial" w:hAnsi="Arial" w:cs="Arial"/>
                <w:color w:val="000000" w:themeColor="text1"/>
              </w:rPr>
              <w:footnoteReference w:id="4"/>
            </w:r>
          </w:p>
          <w:p w14:paraId="739FAF3D" w14:textId="77777777" w:rsidR="002F4215" w:rsidRPr="00720945" w:rsidRDefault="002F4215" w:rsidP="002F4215">
            <w:pPr>
              <w:widowControl/>
              <w:numPr>
                <w:ilvl w:val="0"/>
                <w:numId w:val="5"/>
              </w:numPr>
              <w:autoSpaceDE w:val="0"/>
              <w:autoSpaceDN w:val="0"/>
              <w:adjustRightInd w:val="0"/>
              <w:spacing w:after="0"/>
              <w:ind w:left="178" w:firstLine="0"/>
              <w:jc w:val="both"/>
              <w:rPr>
                <w:rFonts w:ascii="Calibri" w:hAnsi="Calibri" w:cs="Calibri"/>
                <w:color w:val="000000" w:themeColor="text1"/>
                <w:sz w:val="18"/>
                <w:szCs w:val="18"/>
              </w:rPr>
            </w:pPr>
            <w:r w:rsidRPr="00720945">
              <w:rPr>
                <w:rFonts w:ascii="Calibri" w:hAnsi="Calibri" w:cs="Calibri"/>
                <w:color w:val="000000" w:themeColor="text1"/>
                <w:sz w:val="18"/>
                <w:szCs w:val="18"/>
              </w:rPr>
              <w:t>Apresenta uma queda da faturação operacional</w:t>
            </w:r>
            <w:r w:rsidRPr="00720945">
              <w:rPr>
                <w:rStyle w:val="FootnoteReference"/>
                <w:rFonts w:ascii="Arial" w:hAnsi="Arial" w:cs="Arial"/>
                <w:color w:val="000000" w:themeColor="text1"/>
              </w:rPr>
              <w:footnoteReference w:id="5"/>
            </w:r>
            <w:r w:rsidRPr="00720945">
              <w:rPr>
                <w:rFonts w:ascii="Calibri" w:hAnsi="Calibri" w:cs="Calibri"/>
                <w:color w:val="000000" w:themeColor="text1"/>
                <w:sz w:val="18"/>
                <w:szCs w:val="18"/>
              </w:rPr>
              <w:t xml:space="preserve"> igual ou superior a 15% no ano de 2021, face ao ano de 2019</w:t>
            </w:r>
            <w:r w:rsidRPr="00B550EF">
              <w:rPr>
                <w:rFonts w:ascii="Calibri" w:hAnsi="Calibri" w:cs="Calibri"/>
                <w:color w:val="000000" w:themeColor="text1"/>
                <w:sz w:val="18"/>
                <w:szCs w:val="18"/>
              </w:rPr>
              <w:t>, quando resulte da redução de encomendas decorrente da perturbação da respetiva cadeia de valor originada pela escassez ou dificuldade de obtenção de componentes, nomeadamente semicondutores, bens intermédios ou matérias-primas</w:t>
            </w:r>
            <w:r w:rsidRPr="00720945">
              <w:rPr>
                <w:rFonts w:ascii="Calibri" w:hAnsi="Calibri" w:cs="Calibri"/>
                <w:color w:val="000000" w:themeColor="text1"/>
                <w:sz w:val="18"/>
                <w:szCs w:val="18"/>
              </w:rPr>
              <w:t>.</w:t>
            </w:r>
          </w:p>
          <w:p w14:paraId="5012AD52" w14:textId="77777777" w:rsidR="002F4215" w:rsidRPr="00720945" w:rsidRDefault="002F4215" w:rsidP="00F91A8E">
            <w:pPr>
              <w:autoSpaceDE w:val="0"/>
              <w:autoSpaceDN w:val="0"/>
              <w:adjustRightInd w:val="0"/>
              <w:jc w:val="both"/>
              <w:rPr>
                <w:rFonts w:ascii="Calibri" w:hAnsi="Calibri" w:cs="Calibri"/>
                <w:color w:val="000000" w:themeColor="text1"/>
                <w:sz w:val="18"/>
                <w:szCs w:val="18"/>
              </w:rPr>
            </w:pPr>
          </w:p>
        </w:tc>
      </w:tr>
      <w:tr w:rsidR="002F4215" w:rsidRPr="00720945" w14:paraId="37C6E723" w14:textId="77777777" w:rsidTr="00F91A8E">
        <w:trPr>
          <w:trHeight w:val="372"/>
        </w:trPr>
        <w:tc>
          <w:tcPr>
            <w:tcW w:w="11074" w:type="dxa"/>
            <w:gridSpan w:val="5"/>
            <w:shd w:val="clear" w:color="auto" w:fill="auto"/>
          </w:tcPr>
          <w:p w14:paraId="6C70A06A" w14:textId="77777777" w:rsidR="002F4215" w:rsidRPr="00720945" w:rsidRDefault="002F4215" w:rsidP="00F91A8E">
            <w:pPr>
              <w:jc w:val="center"/>
              <w:rPr>
                <w:rFonts w:ascii="Calibri" w:hAnsi="Calibri" w:cs="Calibri"/>
                <w:color w:val="000000" w:themeColor="text1"/>
              </w:rPr>
            </w:pPr>
            <w:r w:rsidRPr="00720945">
              <w:rPr>
                <w:rFonts w:ascii="Calibri" w:hAnsi="Calibri" w:cs="Calibri"/>
                <w:color w:val="000000" w:themeColor="text1"/>
                <w:sz w:val="16"/>
              </w:rPr>
              <w:lastRenderedPageBreak/>
              <w:t>Assinaturas</w:t>
            </w:r>
          </w:p>
        </w:tc>
      </w:tr>
      <w:tr w:rsidR="002F4215" w:rsidRPr="00720945" w14:paraId="5BC3986D" w14:textId="77777777" w:rsidTr="00F91A8E">
        <w:trPr>
          <w:trHeight w:val="396"/>
        </w:trPr>
        <w:tc>
          <w:tcPr>
            <w:tcW w:w="5482" w:type="dxa"/>
            <w:gridSpan w:val="4"/>
            <w:shd w:val="clear" w:color="auto" w:fill="auto"/>
          </w:tcPr>
          <w:p w14:paraId="649E0174" w14:textId="77777777" w:rsidR="002F4215" w:rsidRPr="00720945" w:rsidRDefault="002F4215" w:rsidP="00F91A8E">
            <w:pPr>
              <w:jc w:val="center"/>
              <w:rPr>
                <w:rFonts w:ascii="Calibri" w:hAnsi="Calibri" w:cs="Calibri"/>
                <w:b/>
                <w:color w:val="000000" w:themeColor="text1"/>
                <w:sz w:val="18"/>
              </w:rPr>
            </w:pPr>
            <w:r w:rsidRPr="00720945">
              <w:rPr>
                <w:rFonts w:ascii="Calibri" w:hAnsi="Calibri" w:cs="Calibri"/>
                <w:b/>
                <w:color w:val="000000" w:themeColor="text1"/>
                <w:sz w:val="18"/>
              </w:rPr>
              <w:t>Contabilista Certificado</w:t>
            </w:r>
          </w:p>
        </w:tc>
        <w:tc>
          <w:tcPr>
            <w:tcW w:w="5592" w:type="dxa"/>
            <w:shd w:val="clear" w:color="auto" w:fill="auto"/>
          </w:tcPr>
          <w:p w14:paraId="1CAAB3E2" w14:textId="77777777" w:rsidR="002F4215" w:rsidRPr="00720945" w:rsidRDefault="002F4215" w:rsidP="00F91A8E">
            <w:pPr>
              <w:jc w:val="center"/>
              <w:rPr>
                <w:rFonts w:ascii="Calibri" w:hAnsi="Calibri" w:cs="Calibri"/>
                <w:b/>
                <w:color w:val="000000" w:themeColor="text1"/>
                <w:sz w:val="18"/>
              </w:rPr>
            </w:pPr>
            <w:r w:rsidRPr="00720945">
              <w:rPr>
                <w:rFonts w:ascii="Calibri" w:hAnsi="Calibri" w:cs="Calibri"/>
                <w:b/>
                <w:color w:val="000000" w:themeColor="text1"/>
                <w:sz w:val="18"/>
              </w:rPr>
              <w:t>Representantes do Beneficiário</w:t>
            </w:r>
          </w:p>
        </w:tc>
      </w:tr>
      <w:tr w:rsidR="002F4215" w:rsidRPr="00720945" w14:paraId="1B96362A" w14:textId="77777777" w:rsidTr="00F91A8E">
        <w:trPr>
          <w:trHeight w:val="1803"/>
        </w:trPr>
        <w:tc>
          <w:tcPr>
            <w:tcW w:w="5482" w:type="dxa"/>
            <w:gridSpan w:val="4"/>
            <w:shd w:val="clear" w:color="auto" w:fill="auto"/>
          </w:tcPr>
          <w:p w14:paraId="79BB77B1" w14:textId="77777777" w:rsidR="002F4215" w:rsidRPr="00720945" w:rsidRDefault="002F4215" w:rsidP="00F91A8E">
            <w:pPr>
              <w:rPr>
                <w:rFonts w:ascii="Calibri" w:hAnsi="Calibri" w:cs="Calibri"/>
                <w:color w:val="000000" w:themeColor="text1"/>
              </w:rPr>
            </w:pPr>
          </w:p>
        </w:tc>
        <w:tc>
          <w:tcPr>
            <w:tcW w:w="5592" w:type="dxa"/>
            <w:shd w:val="clear" w:color="auto" w:fill="auto"/>
          </w:tcPr>
          <w:p w14:paraId="27EBC94C" w14:textId="77777777" w:rsidR="002F4215" w:rsidRPr="00720945" w:rsidRDefault="002F4215" w:rsidP="00F91A8E">
            <w:pPr>
              <w:jc w:val="center"/>
              <w:rPr>
                <w:rFonts w:ascii="Calibri" w:hAnsi="Calibri" w:cs="Calibri"/>
                <w:color w:val="000000" w:themeColor="text1"/>
              </w:rPr>
            </w:pPr>
          </w:p>
        </w:tc>
      </w:tr>
      <w:tr w:rsidR="002F4215" w:rsidRPr="00720945" w14:paraId="4FEBFEAB" w14:textId="77777777" w:rsidTr="00F91A8E">
        <w:trPr>
          <w:trHeight w:val="360"/>
        </w:trPr>
        <w:tc>
          <w:tcPr>
            <w:tcW w:w="5482" w:type="dxa"/>
            <w:gridSpan w:val="4"/>
            <w:shd w:val="clear" w:color="auto" w:fill="auto"/>
          </w:tcPr>
          <w:p w14:paraId="6CA89CA8" w14:textId="77777777" w:rsidR="002F4215" w:rsidRPr="00720945" w:rsidRDefault="002F4215" w:rsidP="00F91A8E">
            <w:pPr>
              <w:jc w:val="center"/>
              <w:rPr>
                <w:rFonts w:ascii="Calibri" w:hAnsi="Calibri" w:cs="Calibri"/>
                <w:color w:val="000000" w:themeColor="text1"/>
                <w:sz w:val="16"/>
                <w:szCs w:val="16"/>
              </w:rPr>
            </w:pPr>
            <w:r w:rsidRPr="00720945">
              <w:rPr>
                <w:rFonts w:ascii="Calibri" w:hAnsi="Calibri" w:cs="Calibri"/>
                <w:color w:val="000000" w:themeColor="text1"/>
                <w:sz w:val="16"/>
                <w:szCs w:val="16"/>
              </w:rPr>
              <w:t>Data, Assinatura e Número de Contabilista Certificado</w:t>
            </w:r>
          </w:p>
        </w:tc>
        <w:tc>
          <w:tcPr>
            <w:tcW w:w="5592" w:type="dxa"/>
            <w:shd w:val="clear" w:color="auto" w:fill="auto"/>
          </w:tcPr>
          <w:p w14:paraId="1B8ECA1A" w14:textId="77777777" w:rsidR="002F4215" w:rsidRPr="00720945" w:rsidRDefault="002F4215" w:rsidP="00F91A8E">
            <w:pPr>
              <w:jc w:val="center"/>
              <w:rPr>
                <w:rFonts w:ascii="Calibri" w:hAnsi="Calibri" w:cs="Calibri"/>
                <w:color w:val="000000" w:themeColor="text1"/>
              </w:rPr>
            </w:pPr>
            <w:r w:rsidRPr="00720945">
              <w:rPr>
                <w:rFonts w:ascii="Calibri" w:hAnsi="Calibri" w:cs="Calibri"/>
                <w:color w:val="000000" w:themeColor="text1"/>
                <w:sz w:val="16"/>
                <w:szCs w:val="16"/>
              </w:rPr>
              <w:t>Data, Assinatura e Carimbo.</w:t>
            </w:r>
          </w:p>
        </w:tc>
      </w:tr>
    </w:tbl>
    <w:p w14:paraId="7580B832" w14:textId="3C876ACE" w:rsidR="001631F1" w:rsidRDefault="001631F1" w:rsidP="00F757FE">
      <w:pPr>
        <w:widowControl/>
        <w:spacing w:after="160" w:line="259" w:lineRule="auto"/>
      </w:pPr>
    </w:p>
    <w:sectPr w:rsidR="001631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ACEB3" w14:textId="77777777" w:rsidR="00F757FE" w:rsidRDefault="00F757FE" w:rsidP="00F757FE">
      <w:pPr>
        <w:spacing w:after="0" w:line="240" w:lineRule="auto"/>
      </w:pPr>
      <w:r>
        <w:separator/>
      </w:r>
    </w:p>
  </w:endnote>
  <w:endnote w:type="continuationSeparator" w:id="0">
    <w:p w14:paraId="66B81063" w14:textId="77777777" w:rsidR="00F757FE" w:rsidRDefault="00F757FE" w:rsidP="00F7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9EC1" w14:textId="77777777" w:rsidR="00F757FE" w:rsidRDefault="00F757FE" w:rsidP="00F757FE">
      <w:pPr>
        <w:spacing w:after="0" w:line="240" w:lineRule="auto"/>
      </w:pPr>
      <w:r>
        <w:separator/>
      </w:r>
    </w:p>
  </w:footnote>
  <w:footnote w:type="continuationSeparator" w:id="0">
    <w:p w14:paraId="7FDF7E7A" w14:textId="77777777" w:rsidR="00F757FE" w:rsidRDefault="00F757FE" w:rsidP="00F757FE">
      <w:pPr>
        <w:spacing w:after="0" w:line="240" w:lineRule="auto"/>
      </w:pPr>
      <w:r>
        <w:continuationSeparator/>
      </w:r>
    </w:p>
  </w:footnote>
  <w:footnote w:id="1">
    <w:p w14:paraId="73E53D52" w14:textId="77777777" w:rsidR="002F4215" w:rsidRPr="00720945" w:rsidRDefault="002F4215" w:rsidP="002F4215">
      <w:pPr>
        <w:pStyle w:val="NormalWeb"/>
        <w:shd w:val="clear" w:color="auto" w:fill="FFFFFF"/>
        <w:spacing w:before="0" w:beforeAutospacing="0" w:after="0" w:afterAutospacing="0"/>
        <w:ind w:left="-142" w:right="-852" w:firstLine="142"/>
        <w:jc w:val="both"/>
        <w:rPr>
          <w:rFonts w:ascii="Arial" w:hAnsi="Arial" w:cs="Arial"/>
          <w:color w:val="000000" w:themeColor="text1"/>
          <w:sz w:val="14"/>
          <w:szCs w:val="14"/>
          <w:lang w:eastAsia="en-US"/>
        </w:rPr>
      </w:pPr>
      <w:r w:rsidRPr="00720945">
        <w:rPr>
          <w:rFonts w:ascii="Arial" w:hAnsi="Arial" w:cs="Arial"/>
          <w:color w:val="000000" w:themeColor="text1"/>
          <w:sz w:val="14"/>
          <w:szCs w:val="14"/>
          <w:lang w:eastAsia="en-US"/>
        </w:rPr>
        <w:t>1 - Para efeitos da verificação do nível de emprego, observa-se o seguinte:</w:t>
      </w:r>
    </w:p>
    <w:p w14:paraId="3C6E6BCC" w14:textId="77777777" w:rsidR="002F4215" w:rsidRPr="00720945" w:rsidRDefault="002F4215" w:rsidP="002F4215">
      <w:pPr>
        <w:shd w:val="clear" w:color="auto" w:fill="FFFFFF"/>
        <w:ind w:left="-142" w:right="-852"/>
        <w:jc w:val="both"/>
        <w:rPr>
          <w:rFonts w:ascii="Arial" w:hAnsi="Arial" w:cs="Arial"/>
          <w:color w:val="000000" w:themeColor="text1"/>
          <w:sz w:val="14"/>
          <w:szCs w:val="14"/>
        </w:rPr>
      </w:pPr>
      <w:r w:rsidRPr="00720945">
        <w:rPr>
          <w:rFonts w:ascii="Arial" w:hAnsi="Arial" w:cs="Arial"/>
          <w:color w:val="000000" w:themeColor="text1"/>
          <w:sz w:val="14"/>
          <w:szCs w:val="14"/>
        </w:rPr>
        <w:t>a) São considerados os trabalhadores por conta de outrem, bem como os trabalhadores independentes economicamente dependentes ao serviço da empresa e os que se encontrem cedidos, nos termos do artigo 288.º do Código do Trabalho, aprovado em anexo à </w:t>
      </w:r>
      <w:hyperlink r:id="rId1" w:tgtFrame="_blank" w:tooltip="Lei n.º 7/2009" w:history="1">
        <w:r w:rsidRPr="00720945">
          <w:rPr>
            <w:rFonts w:ascii="Arial" w:hAnsi="Arial" w:cs="Arial"/>
            <w:color w:val="000000" w:themeColor="text1"/>
            <w:sz w:val="14"/>
            <w:szCs w:val="14"/>
          </w:rPr>
          <w:t>Lei n.º 7/2009</w:t>
        </w:r>
      </w:hyperlink>
      <w:r w:rsidRPr="00720945">
        <w:rPr>
          <w:rFonts w:ascii="Arial" w:hAnsi="Arial" w:cs="Arial"/>
          <w:color w:val="000000" w:themeColor="text1"/>
          <w:sz w:val="14"/>
          <w:szCs w:val="14"/>
        </w:rPr>
        <w:t>, de 12 de fevereiro;</w:t>
      </w:r>
    </w:p>
    <w:p w14:paraId="732A586F" w14:textId="77777777" w:rsidR="002F4215" w:rsidRPr="00720945" w:rsidRDefault="002F4215" w:rsidP="002F4215">
      <w:pPr>
        <w:shd w:val="clear" w:color="auto" w:fill="FFFFFF"/>
        <w:ind w:left="-142" w:right="-852"/>
        <w:jc w:val="both"/>
        <w:rPr>
          <w:rFonts w:ascii="Arial" w:hAnsi="Arial" w:cs="Arial"/>
          <w:color w:val="000000" w:themeColor="text1"/>
          <w:sz w:val="14"/>
          <w:szCs w:val="14"/>
        </w:rPr>
      </w:pPr>
      <w:r w:rsidRPr="00720945">
        <w:rPr>
          <w:rFonts w:ascii="Arial" w:hAnsi="Arial" w:cs="Arial"/>
          <w:color w:val="000000" w:themeColor="text1"/>
          <w:sz w:val="14"/>
          <w:szCs w:val="14"/>
        </w:rPr>
        <w:t>b) Não são contabilizados os trabalhadores que tenham cessado os respetivos contratos de trabalho por sua própria iniciativa, por motivo de morte, de reforma por velhice ou invalidez, de despedimento com justa causa promovido pela entidade empregadora, ou de caducidade de contratos a termo celebrados nos termos das alíneas f), g) e h) do n.º 2 do artigo 140.º do Código do Trabalho, aprovado em anexo à </w:t>
      </w:r>
      <w:hyperlink r:id="rId2" w:tgtFrame="_blank" w:tooltip="Lei n.º 7/2009" w:history="1">
        <w:r w:rsidRPr="00720945">
          <w:rPr>
            <w:rFonts w:ascii="Arial" w:hAnsi="Arial" w:cs="Arial"/>
            <w:color w:val="000000" w:themeColor="text1"/>
            <w:sz w:val="14"/>
            <w:szCs w:val="14"/>
          </w:rPr>
          <w:t>Lei n.º 7/2009</w:t>
        </w:r>
      </w:hyperlink>
      <w:r w:rsidRPr="00720945">
        <w:rPr>
          <w:rFonts w:ascii="Arial" w:hAnsi="Arial" w:cs="Arial"/>
          <w:color w:val="000000" w:themeColor="text1"/>
          <w:sz w:val="14"/>
          <w:szCs w:val="14"/>
        </w:rPr>
        <w:t>, de 12 de fevereiro, na sua redação atual, se o acréscimo excecional de atividade da empresa, a tarefa ocasional ou serviço determinado precisamente definido e não duradouro, a obra, projeto ou outra atividade definida e temporária tenham comprovadamente cessado, a demonstrar pela entidade empregadora.</w:t>
      </w:r>
    </w:p>
    <w:p w14:paraId="3A8F86AC" w14:textId="77777777" w:rsidR="002F4215" w:rsidRPr="00720945" w:rsidRDefault="002F4215" w:rsidP="002F4215">
      <w:pPr>
        <w:shd w:val="clear" w:color="auto" w:fill="FFFFFF"/>
        <w:ind w:left="-142" w:right="-852"/>
        <w:jc w:val="both"/>
        <w:rPr>
          <w:rFonts w:ascii="Arial" w:hAnsi="Arial" w:cs="Arial"/>
          <w:color w:val="000000" w:themeColor="text1"/>
          <w:sz w:val="14"/>
          <w:szCs w:val="14"/>
        </w:rPr>
      </w:pPr>
      <w:r w:rsidRPr="00720945">
        <w:rPr>
          <w:rFonts w:ascii="Arial" w:hAnsi="Arial" w:cs="Arial"/>
          <w:color w:val="000000" w:themeColor="text1"/>
          <w:sz w:val="14"/>
          <w:szCs w:val="14"/>
        </w:rPr>
        <w:t>2 - As entidades sujeitas ao regime podem, ainda, demonstrar junto do organismo competente para a atribuição ou fiscalização do apoio ou incentivo que, no cômputo global das entidades que com ela tenham uma relação societária de participações recíprocas, de domínio ou de grupo, ainda que não sujeitas ao regime, foi observada a manutenção do nível de emprego nos termos e condições previstos no presente regime, apenas contando para o efeito as entidades que tenham sede ou direção efetiva em território português ou os estabelecimento estáveis daquelas entidades localizados neste território</w:t>
      </w:r>
    </w:p>
    <w:p w14:paraId="2F2E4123" w14:textId="77777777" w:rsidR="002F4215" w:rsidRPr="00720945" w:rsidRDefault="002F4215" w:rsidP="002F4215">
      <w:pPr>
        <w:shd w:val="clear" w:color="auto" w:fill="FFFFFF"/>
        <w:ind w:left="-142" w:right="-852"/>
        <w:jc w:val="both"/>
        <w:rPr>
          <w:rFonts w:ascii="Arial" w:hAnsi="Arial" w:cs="Arial"/>
          <w:color w:val="000000" w:themeColor="text1"/>
          <w:sz w:val="14"/>
          <w:szCs w:val="14"/>
        </w:rPr>
      </w:pPr>
      <w:r w:rsidRPr="00720945">
        <w:rPr>
          <w:rFonts w:ascii="Arial" w:hAnsi="Arial" w:cs="Arial"/>
          <w:color w:val="000000" w:themeColor="text1"/>
          <w:sz w:val="14"/>
          <w:szCs w:val="14"/>
        </w:rPr>
        <w:t>3 - A demonstração a que se referem as alíneas a), no que diz respeito aos trabalhadores independentes economicamente dependentes e aos que se encontrem cedidos, nos termos do artigo 288.º do Código do Trabalho, e b) do n.º 1, e o n.º 2, deverá estar evidenciada em documentos a integrar o processo de documentação fiscal a que se refere o artigo 130.º do Código do IRC.</w:t>
      </w:r>
    </w:p>
    <w:p w14:paraId="1C85AE97" w14:textId="77777777" w:rsidR="002F4215" w:rsidRPr="007B2756" w:rsidRDefault="002F4215" w:rsidP="002F4215">
      <w:pPr>
        <w:pStyle w:val="FootnoteText"/>
        <w:rPr>
          <w:rFonts w:ascii="Arial" w:hAnsi="Arial" w:cs="Arial"/>
          <w:color w:val="415364"/>
        </w:rPr>
      </w:pPr>
    </w:p>
  </w:footnote>
  <w:footnote w:id="2">
    <w:p w14:paraId="4F878649" w14:textId="77777777" w:rsidR="002F4215" w:rsidRPr="00720945" w:rsidRDefault="002F4215" w:rsidP="002F4215">
      <w:pPr>
        <w:pStyle w:val="FootnoteText"/>
        <w:rPr>
          <w:rFonts w:ascii="Arial" w:hAnsi="Arial" w:cs="Arial"/>
          <w:color w:val="000000" w:themeColor="text1"/>
        </w:rPr>
      </w:pPr>
      <w:r w:rsidRPr="00720945">
        <w:rPr>
          <w:rStyle w:val="FootnoteReference"/>
          <w:rFonts w:ascii="Arial" w:hAnsi="Arial" w:cs="Arial"/>
          <w:color w:val="000000" w:themeColor="text1"/>
          <w:sz w:val="14"/>
          <w:szCs w:val="14"/>
        </w:rPr>
        <w:footnoteRef/>
      </w:r>
      <w:r w:rsidRPr="00720945">
        <w:rPr>
          <w:rStyle w:val="FootnoteReference"/>
          <w:rFonts w:ascii="Arial" w:hAnsi="Arial" w:cs="Arial"/>
          <w:color w:val="000000" w:themeColor="text1"/>
          <w:sz w:val="14"/>
          <w:szCs w:val="14"/>
        </w:rPr>
        <w:t xml:space="preserve"> </w:t>
      </w:r>
      <w:r w:rsidRPr="00720945">
        <w:rPr>
          <w:rFonts w:ascii="Arial" w:hAnsi="Arial" w:cs="Arial"/>
          <w:color w:val="000000" w:themeColor="text1"/>
          <w:sz w:val="14"/>
          <w:szCs w:val="14"/>
        </w:rPr>
        <w:t>De acordo com método de apuramento associado ao Campo A5006 da IES</w:t>
      </w:r>
    </w:p>
  </w:footnote>
  <w:footnote w:id="3">
    <w:p w14:paraId="1D377789" w14:textId="77777777" w:rsidR="002F4215" w:rsidRPr="00720945" w:rsidRDefault="002F4215" w:rsidP="002F4215">
      <w:pPr>
        <w:pStyle w:val="FootnoteText"/>
        <w:rPr>
          <w:rFonts w:ascii="Arial" w:hAnsi="Arial" w:cs="Arial"/>
          <w:color w:val="000000" w:themeColor="text1"/>
        </w:rPr>
      </w:pPr>
      <w:r w:rsidRPr="00720945">
        <w:rPr>
          <w:rStyle w:val="FootnoteReference"/>
          <w:rFonts w:ascii="Arial" w:hAnsi="Arial" w:cs="Arial"/>
          <w:color w:val="000000" w:themeColor="text1"/>
          <w:sz w:val="14"/>
          <w:szCs w:val="14"/>
        </w:rPr>
        <w:footnoteRef/>
      </w:r>
      <w:r w:rsidRPr="00720945">
        <w:rPr>
          <w:rStyle w:val="FootnoteReference"/>
          <w:rFonts w:ascii="Arial" w:hAnsi="Arial" w:cs="Arial"/>
          <w:color w:val="000000" w:themeColor="text1"/>
          <w:sz w:val="14"/>
          <w:szCs w:val="14"/>
        </w:rPr>
        <w:t xml:space="preserve"> </w:t>
      </w:r>
      <w:r w:rsidRPr="00720945">
        <w:rPr>
          <w:rFonts w:ascii="Arial" w:hAnsi="Arial" w:cs="Arial"/>
          <w:color w:val="000000" w:themeColor="text1"/>
          <w:sz w:val="14"/>
          <w:szCs w:val="14"/>
        </w:rPr>
        <w:t>De acordo com método de apuramento associado ao Campo A5006 da IES</w:t>
      </w:r>
    </w:p>
  </w:footnote>
  <w:footnote w:id="4">
    <w:p w14:paraId="73F19483" w14:textId="77777777" w:rsidR="002F4215" w:rsidRDefault="002F4215" w:rsidP="002F4215">
      <w:pPr>
        <w:pStyle w:val="FootnoteText"/>
      </w:pPr>
      <w:r w:rsidRPr="000B1B4A">
        <w:rPr>
          <w:rStyle w:val="FootnoteReference"/>
          <w:rFonts w:ascii="Arial" w:hAnsi="Arial" w:cs="Arial"/>
          <w:color w:val="000000" w:themeColor="text1"/>
          <w:sz w:val="14"/>
          <w:szCs w:val="14"/>
        </w:rPr>
        <w:footnoteRef/>
      </w:r>
      <w:r w:rsidRPr="000B1B4A">
        <w:rPr>
          <w:rStyle w:val="FootnoteReference"/>
          <w:rFonts w:ascii="Arial" w:hAnsi="Arial" w:cs="Arial"/>
          <w:color w:val="000000" w:themeColor="text1"/>
          <w:sz w:val="14"/>
          <w:szCs w:val="14"/>
        </w:rPr>
        <w:t xml:space="preserve"> </w:t>
      </w:r>
      <w:r>
        <w:rPr>
          <w:rFonts w:ascii="Arial" w:hAnsi="Arial" w:cs="Arial"/>
          <w:color w:val="000000" w:themeColor="text1"/>
          <w:sz w:val="14"/>
          <w:szCs w:val="14"/>
        </w:rPr>
        <w:t>Por exemplo, para uma candidatura apresentada em março de 2022 o indicador em causa será apurado comparando o CMVMC de dezembro 2021, janeiro 2022 e fevereiro 2022, com os 3 meses homólogos de dezembro 2019, janeiro 2020 e fevereiro 2020.</w:t>
      </w:r>
    </w:p>
  </w:footnote>
  <w:footnote w:id="5">
    <w:p w14:paraId="15DB6C50" w14:textId="77777777" w:rsidR="002F4215" w:rsidRPr="00721302" w:rsidRDefault="002F4215" w:rsidP="002F4215">
      <w:pPr>
        <w:pStyle w:val="FootnoteText"/>
        <w:rPr>
          <w:sz w:val="14"/>
          <w:szCs w:val="14"/>
        </w:rPr>
      </w:pPr>
      <w:r w:rsidRPr="00720945">
        <w:rPr>
          <w:rStyle w:val="FootnoteReference"/>
          <w:rFonts w:ascii="Arial" w:hAnsi="Arial" w:cs="Arial"/>
          <w:color w:val="000000" w:themeColor="text1"/>
          <w:sz w:val="14"/>
          <w:szCs w:val="14"/>
        </w:rPr>
        <w:footnoteRef/>
      </w:r>
      <w:r w:rsidRPr="00720945">
        <w:rPr>
          <w:rFonts w:ascii="Arial" w:hAnsi="Arial" w:cs="Arial"/>
          <w:color w:val="000000" w:themeColor="text1"/>
          <w:sz w:val="14"/>
          <w:szCs w:val="14"/>
        </w:rPr>
        <w:t xml:space="preserve"> Com exclusão da faturação respeitante a transações não correntes da atividade da empresa v.g.  alienação de ativos não afetos à exploração, venda de equipamento, venda de imóveis, entre outros.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67D"/>
    <w:multiLevelType w:val="hybridMultilevel"/>
    <w:tmpl w:val="A72815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5F04265"/>
    <w:multiLevelType w:val="hybridMultilevel"/>
    <w:tmpl w:val="6A7699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C8E605E"/>
    <w:multiLevelType w:val="hybridMultilevel"/>
    <w:tmpl w:val="65C21C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18D5D12"/>
    <w:multiLevelType w:val="hybridMultilevel"/>
    <w:tmpl w:val="778EDE6A"/>
    <w:lvl w:ilvl="0" w:tplc="0816001B">
      <w:start w:val="1"/>
      <w:numFmt w:val="lowerRoman"/>
      <w:lvlText w:val="%1."/>
      <w:lvlJc w:val="righ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4" w15:restartNumberingAfterBreak="0">
    <w:nsid w:val="6D940725"/>
    <w:multiLevelType w:val="hybridMultilevel"/>
    <w:tmpl w:val="F6C488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5AD34DB"/>
    <w:multiLevelType w:val="hybridMultilevel"/>
    <w:tmpl w:val="E3C49B6A"/>
    <w:lvl w:ilvl="0" w:tplc="D658780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EE731D4"/>
    <w:multiLevelType w:val="hybridMultilevel"/>
    <w:tmpl w:val="381E55DC"/>
    <w:lvl w:ilvl="0" w:tplc="693448A8">
      <w:start w:val="1"/>
      <w:numFmt w:val="lowerLetter"/>
      <w:lvlText w:val="%1)"/>
      <w:lvlJc w:val="left"/>
      <w:pPr>
        <w:ind w:left="720" w:hanging="360"/>
      </w:pPr>
      <w:rPr>
        <w:rFonts w:ascii="Arial" w:hAnsi="Arial" w:cs="Arial"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FE"/>
    <w:rsid w:val="001631F1"/>
    <w:rsid w:val="002F4215"/>
    <w:rsid w:val="00AA6E48"/>
    <w:rsid w:val="00D93A0A"/>
    <w:rsid w:val="00F757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A11D"/>
  <w15:chartTrackingRefBased/>
  <w15:docId w15:val="{E8A1F0A2-BC1C-43BF-9C56-1A1B0C73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7F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57FE"/>
    <w:pPr>
      <w:widowControl/>
      <w:spacing w:after="240" w:line="360" w:lineRule="auto"/>
      <w:jc w:val="both"/>
    </w:pPr>
    <w:rPr>
      <w:rFonts w:ascii="Arial" w:eastAsia="Times New Roman" w:hAnsi="Arial" w:cs="Times New Roman"/>
      <w:sz w:val="20"/>
      <w:szCs w:val="20"/>
    </w:rPr>
  </w:style>
  <w:style w:type="character" w:customStyle="1" w:styleId="ListParagraphChar">
    <w:name w:val="List Paragraph Char"/>
    <w:link w:val="ListParagraph"/>
    <w:uiPriority w:val="34"/>
    <w:locked/>
    <w:rsid w:val="00F757FE"/>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F75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57FE"/>
    <w:rPr>
      <w:sz w:val="20"/>
      <w:szCs w:val="20"/>
    </w:rPr>
  </w:style>
  <w:style w:type="character" w:styleId="FootnoteReference">
    <w:name w:val="footnote reference"/>
    <w:basedOn w:val="DefaultParagraphFont"/>
    <w:uiPriority w:val="99"/>
    <w:semiHidden/>
    <w:unhideWhenUsed/>
    <w:rsid w:val="00F757FE"/>
    <w:rPr>
      <w:vertAlign w:val="superscript"/>
    </w:rPr>
  </w:style>
  <w:style w:type="paragraph" w:styleId="NormalWeb">
    <w:name w:val="Normal (Web)"/>
    <w:basedOn w:val="Normal"/>
    <w:unhideWhenUsed/>
    <w:rsid w:val="002F4215"/>
    <w:pPr>
      <w:widowControl/>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e.pt/web/guest/pesquisa/-/search/578338/details/normal?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re.pt/web/guest/pesquisa/-/search/602073/details/normal?l=1" TargetMode="External"/><Relationship Id="rId1" Type="http://schemas.openxmlformats.org/officeDocument/2006/relationships/hyperlink" Target="https://dre.pt/web/guest/pesquisa/-/search/602073/details/normal?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8300</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 Pacheco de Sousa</dc:creator>
  <cp:keywords/>
  <dc:description/>
  <cp:lastModifiedBy>André Ferreira</cp:lastModifiedBy>
  <cp:revision>2</cp:revision>
  <dcterms:created xsi:type="dcterms:W3CDTF">2022-03-18T11:01:00Z</dcterms:created>
  <dcterms:modified xsi:type="dcterms:W3CDTF">2022-03-18T11:01:00Z</dcterms:modified>
</cp:coreProperties>
</file>